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816"/>
        <w:tblW w:w="10024" w:type="dxa"/>
        <w:tblLook w:val="01E0" w:firstRow="1" w:lastRow="1" w:firstColumn="1" w:lastColumn="1" w:noHBand="0" w:noVBand="0"/>
      </w:tblPr>
      <w:tblGrid>
        <w:gridCol w:w="3992"/>
        <w:gridCol w:w="2700"/>
        <w:gridCol w:w="3332"/>
      </w:tblGrid>
      <w:tr w:rsidR="00114B15" w:rsidRPr="00E878DC" w14:paraId="4E6E6E9C" w14:textId="77777777" w:rsidTr="000A1957">
        <w:trPr>
          <w:trHeight w:val="20"/>
        </w:trPr>
        <w:tc>
          <w:tcPr>
            <w:tcW w:w="4253" w:type="dxa"/>
            <w:tcMar>
              <w:left w:w="0" w:type="dxa"/>
              <w:right w:w="0" w:type="dxa"/>
            </w:tcMar>
          </w:tcPr>
          <w:p w14:paraId="03A770DA" w14:textId="77777777" w:rsidR="00114B15" w:rsidRPr="00E878DC" w:rsidRDefault="00114B15" w:rsidP="000A1957">
            <w:pPr>
              <w:jc w:val="center"/>
              <w:rPr>
                <w:b/>
              </w:rPr>
            </w:pPr>
            <w:r w:rsidRPr="00E878DC">
              <w:rPr>
                <w:b/>
              </w:rPr>
              <w:t>MINISTÈRE DE L’AGRICULTURE</w:t>
            </w:r>
          </w:p>
          <w:p w14:paraId="49A107B4" w14:textId="77777777" w:rsidR="00114B15" w:rsidRDefault="00114B15" w:rsidP="000A1957">
            <w:pPr>
              <w:jc w:val="center"/>
              <w:rPr>
                <w:b/>
              </w:rPr>
            </w:pPr>
            <w:r>
              <w:rPr>
                <w:b/>
              </w:rPr>
              <w:t>DE L’ELEVAGE ET DE LA PÊCHE</w:t>
            </w:r>
          </w:p>
          <w:p w14:paraId="41B15A2F" w14:textId="77777777" w:rsidR="00114B15" w:rsidRPr="00E878DC" w:rsidRDefault="00114B15" w:rsidP="000A1957">
            <w:pPr>
              <w:jc w:val="center"/>
              <w:rPr>
                <w:b/>
              </w:rPr>
            </w:pPr>
            <w:r w:rsidRPr="00E878DC">
              <w:rPr>
                <w:b/>
              </w:rPr>
              <w:t>------------------**------------------</w:t>
            </w:r>
          </w:p>
        </w:tc>
        <w:tc>
          <w:tcPr>
            <w:tcW w:w="2205" w:type="dxa"/>
            <w:vMerge w:val="restart"/>
            <w:tcMar>
              <w:left w:w="0" w:type="dxa"/>
              <w:right w:w="0" w:type="dxa"/>
            </w:tcMar>
          </w:tcPr>
          <w:p w14:paraId="4BDD9617" w14:textId="77777777" w:rsidR="00114B15" w:rsidRDefault="00114B15" w:rsidP="000A1957">
            <w:pPr>
              <w:jc w:val="center"/>
              <w:rPr>
                <w:b/>
              </w:rPr>
            </w:pPr>
          </w:p>
          <w:p w14:paraId="0ED3C21B" w14:textId="77777777" w:rsidR="00114B15" w:rsidRDefault="00114B15" w:rsidP="000A1957">
            <w:pPr>
              <w:jc w:val="center"/>
              <w:rPr>
                <w:b/>
              </w:rPr>
            </w:pPr>
          </w:p>
          <w:p w14:paraId="6CCA3FCD" w14:textId="77777777" w:rsidR="00114B15" w:rsidRDefault="00114B15" w:rsidP="000A1957">
            <w:pPr>
              <w:jc w:val="center"/>
              <w:rPr>
                <w:b/>
              </w:rPr>
            </w:pPr>
          </w:p>
          <w:p w14:paraId="25FE8BF1" w14:textId="77777777" w:rsidR="00114B15" w:rsidRDefault="00114B15" w:rsidP="000A1957">
            <w:pPr>
              <w:jc w:val="center"/>
              <w:rPr>
                <w:b/>
              </w:rPr>
            </w:pPr>
          </w:p>
          <w:p w14:paraId="314B68C1" w14:textId="77777777" w:rsidR="00114B15" w:rsidRPr="00E878DC" w:rsidRDefault="00114B15" w:rsidP="000A1957">
            <w:pPr>
              <w:jc w:val="center"/>
              <w:rPr>
                <w:b/>
              </w:rPr>
            </w:pPr>
            <w:r w:rsidRPr="00E878DC">
              <w:rPr>
                <w:b/>
                <w:noProof/>
                <w:color w:val="0000FF"/>
              </w:rPr>
              <w:drawing>
                <wp:inline distT="0" distB="0" distL="0" distR="0" wp14:anchorId="411D4076" wp14:editId="1A3EBE5E">
                  <wp:extent cx="1714500" cy="838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838200"/>
                          </a:xfrm>
                          <a:prstGeom prst="rect">
                            <a:avLst/>
                          </a:prstGeom>
                          <a:noFill/>
                          <a:ln>
                            <a:noFill/>
                          </a:ln>
                        </pic:spPr>
                      </pic:pic>
                    </a:graphicData>
                  </a:graphic>
                </wp:inline>
              </w:drawing>
            </w:r>
          </w:p>
        </w:tc>
        <w:tc>
          <w:tcPr>
            <w:tcW w:w="3566" w:type="dxa"/>
            <w:tcMar>
              <w:left w:w="0" w:type="dxa"/>
              <w:right w:w="0" w:type="dxa"/>
            </w:tcMar>
          </w:tcPr>
          <w:p w14:paraId="34FE838A" w14:textId="77777777" w:rsidR="00114B15" w:rsidRDefault="00114B15" w:rsidP="000A1957">
            <w:pPr>
              <w:jc w:val="center"/>
              <w:rPr>
                <w:b/>
              </w:rPr>
            </w:pPr>
            <w:r w:rsidRPr="00E878DC">
              <w:rPr>
                <w:b/>
              </w:rPr>
              <w:t>RÉPUBLIQUE DU MALI</w:t>
            </w:r>
          </w:p>
          <w:p w14:paraId="23090D4A" w14:textId="77777777" w:rsidR="00114B15" w:rsidRPr="00E878DC" w:rsidRDefault="00114B15" w:rsidP="000A1957">
            <w:pPr>
              <w:jc w:val="center"/>
              <w:rPr>
                <w:b/>
              </w:rPr>
            </w:pPr>
          </w:p>
          <w:p w14:paraId="2D4FA6A7" w14:textId="77777777" w:rsidR="00114B15" w:rsidRPr="00E878DC" w:rsidRDefault="00114B15" w:rsidP="000A1957">
            <w:pPr>
              <w:jc w:val="center"/>
              <w:rPr>
                <w:b/>
                <w:i/>
              </w:rPr>
            </w:pPr>
            <w:r w:rsidRPr="00E878DC">
              <w:rPr>
                <w:b/>
                <w:i/>
              </w:rPr>
              <w:t>Un Peuple – Un But – Une Foi</w:t>
            </w:r>
          </w:p>
          <w:p w14:paraId="63B9152E" w14:textId="77777777" w:rsidR="00114B15" w:rsidRPr="00E878DC" w:rsidRDefault="00114B15" w:rsidP="000A1957">
            <w:pPr>
              <w:jc w:val="center"/>
              <w:rPr>
                <w:b/>
              </w:rPr>
            </w:pPr>
            <w:r w:rsidRPr="00E878DC">
              <w:rPr>
                <w:b/>
              </w:rPr>
              <w:t>-----------------**-----------------</w:t>
            </w:r>
          </w:p>
        </w:tc>
      </w:tr>
      <w:tr w:rsidR="00114B15" w:rsidRPr="00E878DC" w14:paraId="2C616C78" w14:textId="77777777" w:rsidTr="000A1957">
        <w:trPr>
          <w:trHeight w:val="20"/>
        </w:trPr>
        <w:tc>
          <w:tcPr>
            <w:tcW w:w="4253" w:type="dxa"/>
            <w:tcMar>
              <w:left w:w="0" w:type="dxa"/>
              <w:right w:w="0" w:type="dxa"/>
            </w:tcMar>
          </w:tcPr>
          <w:p w14:paraId="7D963BE6" w14:textId="77777777" w:rsidR="00114B15" w:rsidRPr="00E878DC" w:rsidRDefault="00114B15" w:rsidP="000A1957">
            <w:pPr>
              <w:jc w:val="center"/>
              <w:rPr>
                <w:b/>
              </w:rPr>
            </w:pPr>
            <w:r w:rsidRPr="00E878DC">
              <w:rPr>
                <w:b/>
              </w:rPr>
              <w:t>Agence d’Aménagement des Terres</w:t>
            </w:r>
          </w:p>
          <w:p w14:paraId="0784CF9C" w14:textId="77777777" w:rsidR="00114B15" w:rsidRPr="00E878DC" w:rsidRDefault="00114B15" w:rsidP="000A1957">
            <w:pPr>
              <w:jc w:val="center"/>
              <w:rPr>
                <w:b/>
              </w:rPr>
            </w:pPr>
            <w:r w:rsidRPr="00E878DC">
              <w:rPr>
                <w:b/>
              </w:rPr>
              <w:t>et de Fourniture de l’Eau d’Irrigation</w:t>
            </w:r>
          </w:p>
          <w:p w14:paraId="0D1D3A43" w14:textId="77777777" w:rsidR="00114B15" w:rsidRPr="00E878DC" w:rsidRDefault="00114B15" w:rsidP="000A1957">
            <w:pPr>
              <w:jc w:val="center"/>
              <w:rPr>
                <w:b/>
              </w:rPr>
            </w:pPr>
            <w:r w:rsidRPr="00E878DC">
              <w:rPr>
                <w:b/>
              </w:rPr>
              <w:t>------------------**------------------</w:t>
            </w:r>
          </w:p>
        </w:tc>
        <w:tc>
          <w:tcPr>
            <w:tcW w:w="2205" w:type="dxa"/>
            <w:vMerge/>
            <w:tcMar>
              <w:left w:w="0" w:type="dxa"/>
              <w:right w:w="0" w:type="dxa"/>
            </w:tcMar>
          </w:tcPr>
          <w:p w14:paraId="3550E4B9" w14:textId="77777777" w:rsidR="00114B15" w:rsidRPr="00E878DC" w:rsidRDefault="00114B15" w:rsidP="000A1957">
            <w:pPr>
              <w:jc w:val="center"/>
              <w:rPr>
                <w:b/>
              </w:rPr>
            </w:pPr>
          </w:p>
        </w:tc>
        <w:tc>
          <w:tcPr>
            <w:tcW w:w="3566" w:type="dxa"/>
            <w:tcMar>
              <w:left w:w="0" w:type="dxa"/>
              <w:right w:w="0" w:type="dxa"/>
            </w:tcMar>
          </w:tcPr>
          <w:p w14:paraId="7B635283" w14:textId="77777777" w:rsidR="00114B15" w:rsidRPr="00E878DC" w:rsidRDefault="00114B15" w:rsidP="000A1957">
            <w:pPr>
              <w:jc w:val="center"/>
              <w:rPr>
                <w:b/>
              </w:rPr>
            </w:pPr>
          </w:p>
        </w:tc>
      </w:tr>
      <w:tr w:rsidR="00114B15" w:rsidRPr="00E878DC" w14:paraId="59482E18" w14:textId="77777777" w:rsidTr="000A1957">
        <w:trPr>
          <w:trHeight w:val="20"/>
        </w:trPr>
        <w:tc>
          <w:tcPr>
            <w:tcW w:w="4253" w:type="dxa"/>
            <w:tcMar>
              <w:left w:w="0" w:type="dxa"/>
              <w:right w:w="0" w:type="dxa"/>
            </w:tcMar>
          </w:tcPr>
          <w:p w14:paraId="308AFB41" w14:textId="77777777" w:rsidR="00114B15" w:rsidRPr="00E878DC" w:rsidRDefault="00114B15" w:rsidP="000A1957">
            <w:pPr>
              <w:jc w:val="center"/>
              <w:rPr>
                <w:b/>
              </w:rPr>
            </w:pPr>
            <w:r w:rsidRPr="00E878DC">
              <w:rPr>
                <w:b/>
              </w:rPr>
              <w:t>Projet d’Appui Régional a l’Initiative pour l’Irrigation au Sahel</w:t>
            </w:r>
          </w:p>
          <w:p w14:paraId="5ED5C746" w14:textId="77777777" w:rsidR="00114B15" w:rsidRPr="00E878DC" w:rsidRDefault="00114B15" w:rsidP="000A1957">
            <w:pPr>
              <w:jc w:val="center"/>
              <w:rPr>
                <w:b/>
              </w:rPr>
            </w:pPr>
            <w:r w:rsidRPr="00E878DC">
              <w:rPr>
                <w:b/>
              </w:rPr>
              <w:t>------------------**------------------</w:t>
            </w:r>
          </w:p>
        </w:tc>
        <w:tc>
          <w:tcPr>
            <w:tcW w:w="2205" w:type="dxa"/>
            <w:vMerge/>
            <w:tcMar>
              <w:left w:w="0" w:type="dxa"/>
              <w:right w:w="0" w:type="dxa"/>
            </w:tcMar>
          </w:tcPr>
          <w:p w14:paraId="4A4AC064" w14:textId="77777777" w:rsidR="00114B15" w:rsidRPr="00E878DC" w:rsidRDefault="00114B15" w:rsidP="000A1957">
            <w:pPr>
              <w:jc w:val="center"/>
              <w:rPr>
                <w:b/>
              </w:rPr>
            </w:pPr>
          </w:p>
        </w:tc>
        <w:tc>
          <w:tcPr>
            <w:tcW w:w="3566" w:type="dxa"/>
            <w:tcMar>
              <w:left w:w="0" w:type="dxa"/>
              <w:right w:w="0" w:type="dxa"/>
            </w:tcMar>
          </w:tcPr>
          <w:p w14:paraId="30C38EC0" w14:textId="77777777" w:rsidR="00114B15" w:rsidRPr="00E878DC" w:rsidRDefault="00114B15" w:rsidP="000A1957">
            <w:pPr>
              <w:jc w:val="center"/>
              <w:rPr>
                <w:b/>
              </w:rPr>
            </w:pPr>
          </w:p>
        </w:tc>
      </w:tr>
    </w:tbl>
    <w:p w14:paraId="6A84C67F" w14:textId="36D5DC4D" w:rsidR="007300C9" w:rsidRPr="00595343" w:rsidRDefault="00763A53" w:rsidP="007300C9">
      <w:pPr>
        <w:rPr>
          <w:b/>
        </w:rPr>
      </w:pPr>
      <w:r w:rsidRPr="00595343">
        <w:rPr>
          <w:b/>
        </w:rPr>
        <w:t>Avis de sollicitation</w:t>
      </w:r>
      <w:r w:rsidR="00C25405" w:rsidRPr="00595343">
        <w:rPr>
          <w:b/>
        </w:rPr>
        <w:t xml:space="preserve"> de manifestations</w:t>
      </w:r>
      <w:r w:rsidRPr="00595343">
        <w:rPr>
          <w:b/>
        </w:rPr>
        <w:t xml:space="preserve"> d’intér</w:t>
      </w:r>
      <w:r w:rsidR="00C20C2C">
        <w:rPr>
          <w:b/>
        </w:rPr>
        <w:t xml:space="preserve">êts N° </w:t>
      </w:r>
      <w:r w:rsidR="00A903D1">
        <w:rPr>
          <w:b/>
        </w:rPr>
        <w:t>5</w:t>
      </w:r>
      <w:r w:rsidR="00C20C2C">
        <w:rPr>
          <w:b/>
        </w:rPr>
        <w:t>- 2021</w:t>
      </w:r>
      <w:r w:rsidR="00C25405" w:rsidRPr="00595343">
        <w:rPr>
          <w:b/>
        </w:rPr>
        <w:t xml:space="preserve"> – PARIIS-Mali</w:t>
      </w:r>
      <w:r w:rsidR="00F955ED" w:rsidRPr="00595343">
        <w:rPr>
          <w:b/>
        </w:rPr>
        <w:t xml:space="preserve"> </w:t>
      </w:r>
      <w:r w:rsidR="00A903D1">
        <w:rPr>
          <w:b/>
        </w:rPr>
        <w:t>–</w:t>
      </w:r>
      <w:r w:rsidR="00F955ED" w:rsidRPr="00595343">
        <w:rPr>
          <w:b/>
        </w:rPr>
        <w:t xml:space="preserve"> </w:t>
      </w:r>
      <w:r w:rsidR="00A903D1">
        <w:rPr>
          <w:b/>
        </w:rPr>
        <w:t xml:space="preserve">ATI- </w:t>
      </w:r>
      <w:r w:rsidR="00C25405" w:rsidRPr="00595343">
        <w:rPr>
          <w:b/>
        </w:rPr>
        <w:t>MA</w:t>
      </w:r>
      <w:r w:rsidR="00C20C2C">
        <w:rPr>
          <w:b/>
        </w:rPr>
        <w:t>EP</w:t>
      </w:r>
      <w:r w:rsidRPr="00595343">
        <w:rPr>
          <w:b/>
        </w:rPr>
        <w:t xml:space="preserve"> pour </w:t>
      </w:r>
      <w:r w:rsidR="00C80CB4" w:rsidRPr="00595343">
        <w:rPr>
          <w:b/>
        </w:rPr>
        <w:t xml:space="preserve">le recrutement </w:t>
      </w:r>
      <w:bookmarkStart w:id="0" w:name="_GoBack"/>
      <w:r w:rsidR="00EC15FC" w:rsidRPr="00595343">
        <w:rPr>
          <w:b/>
        </w:rPr>
        <w:t>d</w:t>
      </w:r>
      <w:r w:rsidR="007300C9" w:rsidRPr="00595343">
        <w:rPr>
          <w:b/>
        </w:rPr>
        <w:t>u</w:t>
      </w:r>
      <w:r w:rsidR="00EC15FC" w:rsidRPr="00595343">
        <w:rPr>
          <w:b/>
        </w:rPr>
        <w:t xml:space="preserve"> </w:t>
      </w:r>
      <w:r w:rsidR="00C20C2C">
        <w:rPr>
          <w:b/>
        </w:rPr>
        <w:t xml:space="preserve">Consultant chargé </w:t>
      </w:r>
      <w:r w:rsidR="008F06DC">
        <w:rPr>
          <w:b/>
        </w:rPr>
        <w:t>des études d’impact environnemental et social</w:t>
      </w:r>
      <w:r w:rsidR="00C20C2C" w:rsidRPr="00C20C2C">
        <w:rPr>
          <w:b/>
        </w:rPr>
        <w:t xml:space="preserve"> de quatr</w:t>
      </w:r>
      <w:r w:rsidR="00BD3475">
        <w:rPr>
          <w:b/>
        </w:rPr>
        <w:t>e (4) sous-projets de la 2</w:t>
      </w:r>
      <w:r w:rsidR="00BD3475" w:rsidRPr="00EB638E">
        <w:rPr>
          <w:b/>
          <w:vertAlign w:val="superscript"/>
        </w:rPr>
        <w:t>ème</w:t>
      </w:r>
      <w:r w:rsidR="00EB638E">
        <w:rPr>
          <w:b/>
        </w:rPr>
        <w:t xml:space="preserve"> </w:t>
      </w:r>
      <w:r w:rsidR="00C20C2C">
        <w:rPr>
          <w:b/>
        </w:rPr>
        <w:t>G</w:t>
      </w:r>
      <w:r w:rsidR="00C20C2C" w:rsidRPr="00C20C2C">
        <w:rPr>
          <w:b/>
        </w:rPr>
        <w:t>énération</w:t>
      </w:r>
      <w:r w:rsidR="00C20C2C">
        <w:rPr>
          <w:b/>
        </w:rPr>
        <w:t xml:space="preserve"> </w:t>
      </w:r>
      <w:r w:rsidR="00C20C2C" w:rsidRPr="00C20C2C">
        <w:rPr>
          <w:b/>
        </w:rPr>
        <w:t>du PARIIS</w:t>
      </w:r>
      <w:r w:rsidR="00C20C2C">
        <w:rPr>
          <w:b/>
        </w:rPr>
        <w:t xml:space="preserve"> M</w:t>
      </w:r>
      <w:r w:rsidR="00C20C2C" w:rsidRPr="00C20C2C">
        <w:rPr>
          <w:b/>
        </w:rPr>
        <w:t>ali (</w:t>
      </w:r>
      <w:r w:rsidR="00E2559B" w:rsidRPr="00E2559B">
        <w:rPr>
          <w:b/>
        </w:rPr>
        <w:t>Moribougou3, Kolo, Gouana et Djébé</w:t>
      </w:r>
      <w:r w:rsidR="00C20C2C" w:rsidRPr="00C20C2C">
        <w:rPr>
          <w:b/>
        </w:rPr>
        <w:t>)</w:t>
      </w:r>
    </w:p>
    <w:bookmarkEnd w:id="0"/>
    <w:p w14:paraId="4ADB94AD" w14:textId="31354A27" w:rsidR="009D52A2" w:rsidRPr="00595343" w:rsidRDefault="009D52A2" w:rsidP="00803197">
      <w:pPr>
        <w:spacing w:line="276" w:lineRule="auto"/>
        <w:rPr>
          <w:b/>
        </w:rPr>
      </w:pPr>
      <w:r w:rsidRPr="00595343">
        <w:rPr>
          <w:b/>
        </w:rPr>
        <w:t xml:space="preserve">Pays : </w:t>
      </w:r>
      <w:r w:rsidRPr="00595343">
        <w:t>République du Mali</w:t>
      </w:r>
    </w:p>
    <w:p w14:paraId="64E390E7" w14:textId="60A56949" w:rsidR="009D52A2" w:rsidRPr="00595343" w:rsidRDefault="009D52A2" w:rsidP="00803197">
      <w:pPr>
        <w:spacing w:line="276" w:lineRule="auto"/>
      </w:pPr>
      <w:r w:rsidRPr="00595343">
        <w:rPr>
          <w:b/>
        </w:rPr>
        <w:t xml:space="preserve">Origine : </w:t>
      </w:r>
      <w:r w:rsidRPr="00595343">
        <w:t>Ministère de l’Agriculture</w:t>
      </w:r>
      <w:r w:rsidR="00C20C2C">
        <w:t xml:space="preserve"> de l’Elevage et de la Pêche</w:t>
      </w:r>
    </w:p>
    <w:p w14:paraId="093AE8E1" w14:textId="77777777" w:rsidR="009D52A2" w:rsidRDefault="009D52A2" w:rsidP="00803197">
      <w:pPr>
        <w:spacing w:line="276" w:lineRule="auto"/>
      </w:pPr>
      <w:r w:rsidRPr="00595343">
        <w:rPr>
          <w:b/>
        </w:rPr>
        <w:t>Nom du Projet :</w:t>
      </w:r>
      <w:r w:rsidRPr="00595343">
        <w:t xml:space="preserve"> Projet d’Appui Régional à l’Initiative pour l’Irrigation au Sahel (PARIIS – Mali)</w:t>
      </w:r>
    </w:p>
    <w:p w14:paraId="3404B5FD" w14:textId="77777777" w:rsidR="009D52A2" w:rsidRPr="00595343" w:rsidRDefault="009D52A2" w:rsidP="00803197">
      <w:pPr>
        <w:tabs>
          <w:tab w:val="left" w:pos="3960"/>
        </w:tabs>
        <w:spacing w:line="276" w:lineRule="auto"/>
        <w:ind w:left="3960" w:hanging="3960"/>
        <w:rPr>
          <w:b/>
        </w:rPr>
      </w:pPr>
      <w:r w:rsidRPr="00595343">
        <w:rPr>
          <w:b/>
        </w:rPr>
        <w:t>F</w:t>
      </w:r>
      <w:r w:rsidR="00E27154" w:rsidRPr="00595343">
        <w:rPr>
          <w:b/>
        </w:rPr>
        <w:t>inancement</w:t>
      </w:r>
      <w:r w:rsidRPr="00595343">
        <w:rPr>
          <w:b/>
        </w:rPr>
        <w:t> : Banque Mondiale</w:t>
      </w:r>
    </w:p>
    <w:p w14:paraId="33C671DE" w14:textId="77777777" w:rsidR="009D52A2" w:rsidRPr="00595343" w:rsidRDefault="00E27154" w:rsidP="00803197">
      <w:pPr>
        <w:tabs>
          <w:tab w:val="left" w:pos="3960"/>
        </w:tabs>
        <w:spacing w:line="276" w:lineRule="auto"/>
        <w:ind w:left="3960" w:hanging="3960"/>
      </w:pPr>
      <w:r w:rsidRPr="00595343">
        <w:rPr>
          <w:b/>
        </w:rPr>
        <w:t xml:space="preserve">                          </w:t>
      </w:r>
      <w:r w:rsidR="009D52A2" w:rsidRPr="00595343">
        <w:rPr>
          <w:b/>
        </w:rPr>
        <w:t>Crédit IDA 6161-ML</w:t>
      </w:r>
    </w:p>
    <w:p w14:paraId="5F0B2C03" w14:textId="77777777" w:rsidR="009D52A2" w:rsidRPr="00595343" w:rsidRDefault="00E27154" w:rsidP="00803197">
      <w:pPr>
        <w:spacing w:line="276" w:lineRule="auto"/>
        <w:rPr>
          <w:b/>
        </w:rPr>
      </w:pPr>
      <w:r w:rsidRPr="00595343">
        <w:rPr>
          <w:b/>
        </w:rPr>
        <w:t xml:space="preserve">                          </w:t>
      </w:r>
      <w:r w:rsidR="009D52A2" w:rsidRPr="00595343">
        <w:rPr>
          <w:b/>
        </w:rPr>
        <w:t xml:space="preserve">Don IDA N°D253-ML </w:t>
      </w:r>
    </w:p>
    <w:p w14:paraId="24E0B01A" w14:textId="69B33FCB" w:rsidR="007300C9" w:rsidRPr="00595343" w:rsidRDefault="00412FA5" w:rsidP="008946F3">
      <w:pPr>
        <w:pStyle w:val="Paragraphedeliste"/>
        <w:numPr>
          <w:ilvl w:val="0"/>
          <w:numId w:val="13"/>
        </w:numPr>
        <w:spacing w:after="240" w:line="276" w:lineRule="auto"/>
        <w:jc w:val="both"/>
      </w:pPr>
      <w:r w:rsidRPr="00595343">
        <w:t xml:space="preserve">Le Gouvernement du Mali a </w:t>
      </w:r>
      <w:r w:rsidR="00EC7041" w:rsidRPr="00595343">
        <w:t xml:space="preserve">obtenu </w:t>
      </w:r>
      <w:r w:rsidRPr="00595343">
        <w:t xml:space="preserve">un </w:t>
      </w:r>
      <w:r w:rsidR="00EC7041" w:rsidRPr="00595343">
        <w:t xml:space="preserve">crédit et </w:t>
      </w:r>
      <w:r w:rsidR="008A6A00" w:rsidRPr="00595343">
        <w:t xml:space="preserve">un </w:t>
      </w:r>
      <w:r w:rsidR="00EC7041" w:rsidRPr="00595343">
        <w:t>don de l’Association Internationale de Développement (IDA)</w:t>
      </w:r>
      <w:r w:rsidRPr="00595343">
        <w:t xml:space="preserve"> </w:t>
      </w:r>
      <w:r w:rsidR="00A96422" w:rsidRPr="00595343">
        <w:t xml:space="preserve">de 25 millions de Dollars US </w:t>
      </w:r>
      <w:r w:rsidRPr="00595343">
        <w:t xml:space="preserve">pour la mise en œuvre du Projet d’Appui Régional à l’Initiative pour l’Irrigation au Sahel (PARIIS) </w:t>
      </w:r>
      <w:r w:rsidR="00A644B1" w:rsidRPr="00595343">
        <w:t>et a l’intention d’utiliser une partie du montant de ce crédit</w:t>
      </w:r>
      <w:r w:rsidR="00EC7041" w:rsidRPr="00595343">
        <w:t xml:space="preserve"> ou don</w:t>
      </w:r>
      <w:r w:rsidR="00A644B1" w:rsidRPr="00595343">
        <w:t xml:space="preserve"> pour effectuer les paiements au titre du contrat d</w:t>
      </w:r>
      <w:r w:rsidR="00E64FE8" w:rsidRPr="00595343">
        <w:t>e</w:t>
      </w:r>
      <w:r w:rsidR="00A644B1" w:rsidRPr="00595343">
        <w:t xml:space="preserve"> consultant pour </w:t>
      </w:r>
      <w:r w:rsidR="00C20C2C">
        <w:rPr>
          <w:b/>
        </w:rPr>
        <w:t>la réalisation</w:t>
      </w:r>
      <w:r w:rsidR="007300C9" w:rsidRPr="00595343">
        <w:rPr>
          <w:b/>
        </w:rPr>
        <w:t xml:space="preserve"> </w:t>
      </w:r>
      <w:r w:rsidR="008F06DC">
        <w:rPr>
          <w:b/>
        </w:rPr>
        <w:t>des études d’impact environnemental et social</w:t>
      </w:r>
      <w:r w:rsidR="00C20C2C" w:rsidRPr="00C20C2C">
        <w:rPr>
          <w:b/>
        </w:rPr>
        <w:t xml:space="preserve"> de quatr</w:t>
      </w:r>
      <w:r w:rsidR="00C20C2C">
        <w:rPr>
          <w:b/>
        </w:rPr>
        <w:t>e (4) sous-projets de la 2ème  G</w:t>
      </w:r>
      <w:r w:rsidR="00C20C2C" w:rsidRPr="00C20C2C">
        <w:rPr>
          <w:b/>
        </w:rPr>
        <w:t>énération</w:t>
      </w:r>
      <w:r w:rsidR="00C20C2C">
        <w:rPr>
          <w:b/>
        </w:rPr>
        <w:t xml:space="preserve"> </w:t>
      </w:r>
      <w:r w:rsidR="00C20C2C" w:rsidRPr="00C20C2C">
        <w:rPr>
          <w:b/>
        </w:rPr>
        <w:t>du PARIIS</w:t>
      </w:r>
      <w:r w:rsidR="00C20C2C">
        <w:rPr>
          <w:b/>
        </w:rPr>
        <w:t xml:space="preserve"> M</w:t>
      </w:r>
      <w:r w:rsidR="00C20C2C" w:rsidRPr="00C20C2C">
        <w:rPr>
          <w:b/>
        </w:rPr>
        <w:t xml:space="preserve">ali </w:t>
      </w:r>
      <w:r w:rsidR="00E2559B" w:rsidRPr="00C20C2C">
        <w:rPr>
          <w:b/>
        </w:rPr>
        <w:t>(</w:t>
      </w:r>
      <w:r w:rsidR="00E2559B" w:rsidRPr="00E2559B">
        <w:rPr>
          <w:b/>
        </w:rPr>
        <w:t>Moribougou3, Kolo, Gouana et Djébé</w:t>
      </w:r>
      <w:r w:rsidR="00E2559B" w:rsidRPr="00C20C2C">
        <w:rPr>
          <w:b/>
        </w:rPr>
        <w:t>)</w:t>
      </w:r>
      <w:r w:rsidR="007300C9" w:rsidRPr="00595343">
        <w:rPr>
          <w:b/>
        </w:rPr>
        <w:t>.</w:t>
      </w:r>
      <w:r w:rsidR="007300C9" w:rsidRPr="00595343">
        <w:t xml:space="preserve"> </w:t>
      </w:r>
    </w:p>
    <w:p w14:paraId="6D2D6221" w14:textId="4ECBAA04" w:rsidR="00E43B15" w:rsidRPr="00595343" w:rsidRDefault="00846F7A" w:rsidP="00846F7A">
      <w:pPr>
        <w:pStyle w:val="Paragraphedeliste"/>
        <w:numPr>
          <w:ilvl w:val="0"/>
          <w:numId w:val="13"/>
        </w:numPr>
        <w:spacing w:line="276" w:lineRule="auto"/>
        <w:jc w:val="both"/>
        <w:rPr>
          <w:b/>
        </w:rPr>
      </w:pPr>
      <w:bookmarkStart w:id="1" w:name="_Toc1497655"/>
      <w:r w:rsidRPr="00595343">
        <w:rPr>
          <w:b/>
        </w:rPr>
        <w:t>Objectifs de la prestation</w:t>
      </w:r>
      <w:bookmarkEnd w:id="1"/>
      <w:r w:rsidRPr="00595343">
        <w:rPr>
          <w:b/>
        </w:rPr>
        <w:t xml:space="preserve"> </w:t>
      </w:r>
    </w:p>
    <w:p w14:paraId="66816C72" w14:textId="07D833B8" w:rsidR="00C20C2C" w:rsidRPr="00E2559B" w:rsidRDefault="00C20C2C" w:rsidP="00C20C2C">
      <w:r w:rsidRPr="00C20C2C">
        <w:t>Le Projet d’Appui régional à l’Initiative pour l’Irrigation au Sahel (PARIIS) Mali recrute un bureau d’étude spécialisé pour la conduite de quatre (4) Etudes d’Impacts Environnemental et Social (EIES) assorties de leurs Plans de Gestion Environnementale et Sociale (PGES) respectifs, dans les sites</w:t>
      </w:r>
      <w:r w:rsidRPr="00E2559B">
        <w:t xml:space="preserve"> de </w:t>
      </w:r>
      <w:r w:rsidR="00E2559B" w:rsidRPr="00E2559B">
        <w:t>Moribougou3, Kolo, Gouana et Djébé</w:t>
      </w:r>
      <w:r w:rsidRPr="00E2559B">
        <w:rPr>
          <w:color w:val="FF0000"/>
        </w:rPr>
        <w:t>.</w:t>
      </w:r>
    </w:p>
    <w:p w14:paraId="04AE8876" w14:textId="77777777" w:rsidR="00C20C2C" w:rsidRPr="00C20C2C" w:rsidRDefault="00C20C2C" w:rsidP="00C20C2C">
      <w:r w:rsidRPr="00C20C2C">
        <w:t xml:space="preserve">Les objectifs généraux de cette évaluation environnementale et sociale sont de consolider les impacts positifs des activités du projet en matière d’aménagement des bas-fonds et d’identifier et mettre en place des mesures d’atténuation des risques et impacts négatifs. </w:t>
      </w:r>
    </w:p>
    <w:p w14:paraId="75F57116" w14:textId="77777777" w:rsidR="00C20C2C" w:rsidRPr="00C20C2C" w:rsidRDefault="00C20C2C" w:rsidP="00C20C2C">
      <w:r w:rsidRPr="00C20C2C">
        <w:t>Les objectifs spécifiques de l’évaluation sont de</w:t>
      </w:r>
      <w:r w:rsidRPr="00C20C2C" w:rsidDel="00D70AC1">
        <w:t xml:space="preserve"> </w:t>
      </w:r>
      <w:r w:rsidRPr="00C20C2C">
        <w:t>:</w:t>
      </w:r>
    </w:p>
    <w:p w14:paraId="64005F56" w14:textId="77777777" w:rsidR="00C20C2C" w:rsidRDefault="00C20C2C" w:rsidP="00C20C2C">
      <w:pPr>
        <w:pStyle w:val="Paragraphedeliste"/>
        <w:numPr>
          <w:ilvl w:val="0"/>
          <w:numId w:val="41"/>
        </w:numPr>
        <w:spacing w:after="200" w:line="276" w:lineRule="auto"/>
        <w:jc w:val="both"/>
      </w:pPr>
      <w:r w:rsidRPr="007D0CD1">
        <w:t>identifier, analyser et évaluer les impacts négatifs et positifs potentiels du projet sur l’environnement biophysique et socioéconomique ;</w:t>
      </w:r>
    </w:p>
    <w:p w14:paraId="7D565A4D" w14:textId="77777777" w:rsidR="00C20C2C" w:rsidRPr="00D70AC1" w:rsidRDefault="00C20C2C" w:rsidP="00C20C2C">
      <w:pPr>
        <w:pStyle w:val="Paragraphedeliste"/>
        <w:numPr>
          <w:ilvl w:val="0"/>
          <w:numId w:val="41"/>
        </w:numPr>
        <w:spacing w:after="200" w:line="276" w:lineRule="auto"/>
        <w:jc w:val="both"/>
      </w:pPr>
      <w:r w:rsidRPr="00D70AC1">
        <w:t>proposer des mesures pour prévenir, minimiser, atténuer ou compenser les impacts environnementaux et sociaux négatifs, ou pour bonifier les impacts positifs potentiels des sous projets ;</w:t>
      </w:r>
    </w:p>
    <w:p w14:paraId="74D34A09" w14:textId="77777777" w:rsidR="00C20C2C" w:rsidRDefault="00C20C2C" w:rsidP="00C20C2C">
      <w:pPr>
        <w:pStyle w:val="Paragraphedeliste"/>
        <w:numPr>
          <w:ilvl w:val="0"/>
          <w:numId w:val="41"/>
        </w:numPr>
        <w:spacing w:after="200" w:line="276" w:lineRule="auto"/>
        <w:jc w:val="both"/>
      </w:pPr>
      <w:r>
        <w:t>identifier les mécanismes permettant à la fois d’informer toutes les parties prenantes et tous les bénéficiaires (y compris les groupes marginaux et vulnérables) au sujet des caractéristiques des activités du projet et de tenir compte de leurs opinions et priorités (par le biais de consultations publiques);</w:t>
      </w:r>
    </w:p>
    <w:p w14:paraId="68CC2418" w14:textId="77777777" w:rsidR="00C20C2C" w:rsidRPr="00C20C2C" w:rsidRDefault="00C20C2C" w:rsidP="00C20C2C">
      <w:pPr>
        <w:pStyle w:val="Paragraphedeliste"/>
        <w:numPr>
          <w:ilvl w:val="0"/>
          <w:numId w:val="41"/>
        </w:numPr>
        <w:spacing w:after="200" w:line="276" w:lineRule="auto"/>
        <w:jc w:val="both"/>
      </w:pPr>
      <w:r>
        <w:t>i</w:t>
      </w:r>
      <w:r w:rsidRPr="007D0CD1">
        <w:t xml:space="preserve">nternaliser </w:t>
      </w:r>
      <w:r w:rsidRPr="007D0CD1">
        <w:rPr>
          <w:rFonts w:eastAsia="Calibri"/>
        </w:rPr>
        <w:t xml:space="preserve">les coûts des dommages environnementaux et de mise en œuvre des mesures d’atténuation et/ou de bonification proposées </w:t>
      </w:r>
      <w:r>
        <w:rPr>
          <w:rFonts w:eastAsia="Calibri"/>
        </w:rPr>
        <w:t xml:space="preserve">(y compris par rapport aux mesures de </w:t>
      </w:r>
      <w:r>
        <w:rPr>
          <w:rFonts w:eastAsia="Calibri"/>
        </w:rPr>
        <w:lastRenderedPageBreak/>
        <w:t xml:space="preserve">renforcement des capacités des parties prenantes en matière de gestion environnementale et sociale) </w:t>
      </w:r>
      <w:r w:rsidRPr="007D0CD1">
        <w:rPr>
          <w:rFonts w:eastAsia="Calibri"/>
        </w:rPr>
        <w:t>dans les coûts de développement de chaque sous projets.</w:t>
      </w:r>
    </w:p>
    <w:p w14:paraId="1E4E9110" w14:textId="46935DED" w:rsidR="00E43B15" w:rsidRPr="00595343" w:rsidRDefault="00C20C2C" w:rsidP="00846F7A">
      <w:pPr>
        <w:pStyle w:val="Paragraphedeliste"/>
        <w:numPr>
          <w:ilvl w:val="0"/>
          <w:numId w:val="13"/>
        </w:numPr>
        <w:spacing w:line="276" w:lineRule="auto"/>
        <w:jc w:val="both"/>
        <w:rPr>
          <w:b/>
        </w:rPr>
      </w:pPr>
      <w:r>
        <w:rPr>
          <w:b/>
        </w:rPr>
        <w:t>Responsabilité et taches du Consultant</w:t>
      </w:r>
    </w:p>
    <w:p w14:paraId="24A8477F" w14:textId="77777777" w:rsidR="00C20C2C" w:rsidRPr="00572364" w:rsidRDefault="00C20C2C" w:rsidP="00A903D1">
      <w:pPr>
        <w:spacing w:line="276" w:lineRule="auto"/>
        <w:ind w:left="360"/>
      </w:pPr>
      <w:r>
        <w:t>Le Bureau d’étude retenu aura la responsabilité d’assurer les</w:t>
      </w:r>
      <w:r w:rsidRPr="00572364">
        <w:t xml:space="preserve"> tâches </w:t>
      </w:r>
      <w:r>
        <w:t>suivantes</w:t>
      </w:r>
      <w:r w:rsidRPr="00572364">
        <w:t> :</w:t>
      </w:r>
    </w:p>
    <w:p w14:paraId="66CBA688" w14:textId="77777777" w:rsidR="00C20C2C" w:rsidRPr="007D0CD1" w:rsidRDefault="00C20C2C" w:rsidP="00C20C2C">
      <w:pPr>
        <w:pStyle w:val="Paragraphedeliste"/>
        <w:numPr>
          <w:ilvl w:val="0"/>
          <w:numId w:val="42"/>
        </w:numPr>
        <w:spacing w:after="200" w:line="276" w:lineRule="auto"/>
        <w:jc w:val="both"/>
      </w:pPr>
      <w:r w:rsidRPr="007D0CD1">
        <w:t xml:space="preserve">la description </w:t>
      </w:r>
      <w:r>
        <w:t xml:space="preserve">sommaire </w:t>
      </w:r>
      <w:r w:rsidRPr="007D0CD1">
        <w:t xml:space="preserve">des activités </w:t>
      </w:r>
      <w:r>
        <w:t>prévues dans le cadre du projet dans le corps du document et description détaillée des activités du projet en annexe</w:t>
      </w:r>
      <w:r w:rsidRPr="007D0CD1">
        <w:t>;</w:t>
      </w:r>
    </w:p>
    <w:p w14:paraId="2DC08F9E" w14:textId="77777777" w:rsidR="00C20C2C" w:rsidRPr="007D0CD1" w:rsidRDefault="00C20C2C" w:rsidP="00C20C2C">
      <w:pPr>
        <w:pStyle w:val="Paragraphedeliste"/>
        <w:numPr>
          <w:ilvl w:val="0"/>
          <w:numId w:val="42"/>
        </w:numPr>
        <w:spacing w:after="200" w:line="276" w:lineRule="auto"/>
        <w:jc w:val="both"/>
      </w:pPr>
      <w:r w:rsidRPr="007D0CD1">
        <w:t xml:space="preserve">la description et l’analyse de l'état initial de l'environnement </w:t>
      </w:r>
      <w:r>
        <w:t xml:space="preserve">biophysique </w:t>
      </w:r>
      <w:r w:rsidRPr="007D0CD1">
        <w:t>d</w:t>
      </w:r>
      <w:r>
        <w:t xml:space="preserve">e la zone couverte par le projet </w:t>
      </w:r>
      <w:r w:rsidRPr="007D0CD1">
        <w:t xml:space="preserve">et </w:t>
      </w:r>
      <w:r>
        <w:t xml:space="preserve">de </w:t>
      </w:r>
      <w:r w:rsidRPr="007D0CD1">
        <w:t xml:space="preserve">ses zones d'influence directe et diffuse </w:t>
      </w:r>
      <w:r>
        <w:t>et de leur milieu humain</w:t>
      </w:r>
      <w:r w:rsidRPr="007D0CD1">
        <w:t>;</w:t>
      </w:r>
    </w:p>
    <w:p w14:paraId="4F525C91" w14:textId="77777777" w:rsidR="00C20C2C" w:rsidRDefault="00C20C2C" w:rsidP="00C20C2C">
      <w:pPr>
        <w:pStyle w:val="Paragraphedeliste"/>
        <w:numPr>
          <w:ilvl w:val="0"/>
          <w:numId w:val="42"/>
        </w:numPr>
        <w:spacing w:after="200" w:line="276" w:lineRule="auto"/>
        <w:jc w:val="both"/>
      </w:pPr>
      <w:r>
        <w:t xml:space="preserve">l’identification des principaux impacts environnementaux et positifs des activités du projet ; </w:t>
      </w:r>
    </w:p>
    <w:p w14:paraId="25B5FB0C" w14:textId="77777777" w:rsidR="00C20C2C" w:rsidRPr="007D0CD1" w:rsidRDefault="00C20C2C" w:rsidP="00C20C2C">
      <w:pPr>
        <w:pStyle w:val="Paragraphedeliste"/>
        <w:numPr>
          <w:ilvl w:val="0"/>
          <w:numId w:val="42"/>
        </w:numPr>
        <w:spacing w:after="200" w:line="276" w:lineRule="auto"/>
        <w:jc w:val="both"/>
      </w:pPr>
      <w:r>
        <w:t xml:space="preserve">l’identification des principaux risques et </w:t>
      </w:r>
      <w:r w:rsidRPr="007D0CD1">
        <w:t xml:space="preserve">impacts négatifs </w:t>
      </w:r>
      <w:r>
        <w:t xml:space="preserve">de nature environnementale et sociale des activités du projet </w:t>
      </w:r>
      <w:r w:rsidRPr="007D0CD1">
        <w:t>;</w:t>
      </w:r>
    </w:p>
    <w:p w14:paraId="516CC311" w14:textId="77777777" w:rsidR="00C20C2C" w:rsidRDefault="00C20C2C" w:rsidP="00C20C2C">
      <w:pPr>
        <w:pStyle w:val="Paragraphedeliste"/>
        <w:numPr>
          <w:ilvl w:val="0"/>
          <w:numId w:val="42"/>
        </w:numPr>
        <w:spacing w:after="200" w:line="276" w:lineRule="auto"/>
        <w:jc w:val="both"/>
      </w:pPr>
      <w:r w:rsidRPr="007D0CD1">
        <w:t>l’identification et l’évaluation de</w:t>
      </w:r>
      <w:r>
        <w:t xml:space="preserve"> toute</w:t>
      </w:r>
      <w:r w:rsidRPr="007D0CD1">
        <w:t xml:space="preserve">s </w:t>
      </w:r>
      <w:r>
        <w:t xml:space="preserve">les </w:t>
      </w:r>
      <w:r w:rsidRPr="007D0CD1">
        <w:t>mesures d’atténuation</w:t>
      </w:r>
      <w:r>
        <w:t xml:space="preserve"> des risques et des impacts environnementaux et sociaux négatifs</w:t>
      </w:r>
      <w:r w:rsidRPr="007D0CD1">
        <w:t>;</w:t>
      </w:r>
    </w:p>
    <w:p w14:paraId="5484367F" w14:textId="77777777" w:rsidR="00C20C2C" w:rsidRPr="007D0CD1" w:rsidRDefault="00C20C2C" w:rsidP="00C20C2C">
      <w:pPr>
        <w:pStyle w:val="Paragraphedeliste"/>
        <w:numPr>
          <w:ilvl w:val="0"/>
          <w:numId w:val="42"/>
        </w:numPr>
        <w:spacing w:after="200" w:line="276" w:lineRule="auto"/>
        <w:jc w:val="both"/>
      </w:pPr>
      <w:r>
        <w:t xml:space="preserve">la prise en compte des effets environnementaux et sociaux des variantes avec ou sans projet ; </w:t>
      </w:r>
    </w:p>
    <w:p w14:paraId="6F2B7F60" w14:textId="77777777" w:rsidR="00C20C2C" w:rsidRPr="00ED6755" w:rsidRDefault="00C20C2C" w:rsidP="00C20C2C">
      <w:pPr>
        <w:pStyle w:val="Paragraphedeliste"/>
        <w:numPr>
          <w:ilvl w:val="0"/>
          <w:numId w:val="42"/>
        </w:numPr>
        <w:spacing w:after="200" w:line="276" w:lineRule="auto"/>
        <w:jc w:val="both"/>
      </w:pPr>
      <w:r w:rsidRPr="00ED6755">
        <w:t>la proposition de mesures de compensation justes et équitables et accessoirement de conditions additionnelles d’amélioration de la qualité de vie des PAP ;</w:t>
      </w:r>
    </w:p>
    <w:p w14:paraId="72C26C86" w14:textId="77777777" w:rsidR="00C20C2C" w:rsidRDefault="00C20C2C" w:rsidP="00C20C2C">
      <w:pPr>
        <w:pStyle w:val="Paragraphedeliste"/>
        <w:numPr>
          <w:ilvl w:val="0"/>
          <w:numId w:val="42"/>
        </w:numPr>
        <w:spacing w:after="200" w:line="276" w:lineRule="auto"/>
        <w:jc w:val="both"/>
      </w:pPr>
      <w:r>
        <w:t xml:space="preserve">la présentation des procédures concernant les consultations publiques pour </w:t>
      </w:r>
      <w:r w:rsidRPr="007D0CD1">
        <w:t>l’information et la participation des parties prenantes à toutes les phases des sous projets ;</w:t>
      </w:r>
    </w:p>
    <w:p w14:paraId="27CA4B30" w14:textId="77777777" w:rsidR="00C20C2C" w:rsidRPr="007D0CD1" w:rsidRDefault="00C20C2C" w:rsidP="00C20C2C">
      <w:pPr>
        <w:pStyle w:val="Paragraphedeliste"/>
        <w:numPr>
          <w:ilvl w:val="0"/>
          <w:numId w:val="42"/>
        </w:numPr>
        <w:spacing w:after="200" w:line="276" w:lineRule="auto"/>
        <w:jc w:val="both"/>
      </w:pPr>
      <w:r w:rsidRPr="007D0CD1">
        <w:t>l’identification des Personnes Affectées par le Projet (PAP)</w:t>
      </w:r>
      <w:r>
        <w:t>, y compris les groupes marginaux et vulnérables</w:t>
      </w:r>
      <w:r w:rsidRPr="007D0CD1">
        <w:t> ;</w:t>
      </w:r>
    </w:p>
    <w:p w14:paraId="16B349AE" w14:textId="77777777" w:rsidR="00C20C2C" w:rsidRPr="007D0CD1" w:rsidRDefault="00C20C2C" w:rsidP="00C20C2C">
      <w:pPr>
        <w:pStyle w:val="Paragraphedeliste"/>
        <w:numPr>
          <w:ilvl w:val="0"/>
          <w:numId w:val="42"/>
        </w:numPr>
        <w:spacing w:after="200" w:line="276" w:lineRule="auto"/>
        <w:jc w:val="both"/>
      </w:pPr>
      <w:r>
        <w:t xml:space="preserve">la description des mécanismes de gestion des plaintes qui pourront être soumises par les parties prenantes ; </w:t>
      </w:r>
    </w:p>
    <w:p w14:paraId="771E587F" w14:textId="77777777" w:rsidR="00C20C2C" w:rsidRDefault="00C20C2C" w:rsidP="00C20C2C">
      <w:pPr>
        <w:pStyle w:val="Paragraphedeliste"/>
        <w:numPr>
          <w:ilvl w:val="0"/>
          <w:numId w:val="42"/>
        </w:numPr>
        <w:spacing w:after="200" w:line="276" w:lineRule="auto"/>
        <w:jc w:val="both"/>
      </w:pPr>
      <w:r w:rsidRPr="007D0CD1">
        <w:t>l’identification de</w:t>
      </w:r>
      <w:r>
        <w:t xml:space="preserve"> tous le</w:t>
      </w:r>
      <w:r w:rsidRPr="007D0CD1">
        <w:t xml:space="preserve">s acteurs </w:t>
      </w:r>
      <w:r>
        <w:t xml:space="preserve">(services techniques, autorités locales, organisations non-gouvernementales, associations de la société civile, groupements de producteurs, groupements de femmes, associations de jeunes, secteur privé, etc.) </w:t>
      </w:r>
      <w:r w:rsidRPr="007D0CD1">
        <w:t>et leur responsabilisation pour mettre en œuvre les mesures proposées ;</w:t>
      </w:r>
    </w:p>
    <w:p w14:paraId="6235FA7E" w14:textId="77777777" w:rsidR="00C20C2C" w:rsidRPr="007D0CD1" w:rsidRDefault="00C20C2C" w:rsidP="00C20C2C">
      <w:pPr>
        <w:pStyle w:val="Paragraphedeliste"/>
        <w:numPr>
          <w:ilvl w:val="0"/>
          <w:numId w:val="42"/>
        </w:numPr>
        <w:spacing w:after="200" w:line="276" w:lineRule="auto"/>
        <w:jc w:val="both"/>
      </w:pPr>
      <w:r>
        <w:t>l’élaboration d’un système de renforcement des capacités en matière de gestion environnementale et sociale en faveur des principaux acteurs impliqués dans la mise en œuvre du projet (y compris les femmes et les jeunes) ;</w:t>
      </w:r>
    </w:p>
    <w:p w14:paraId="4BD7A570" w14:textId="77777777" w:rsidR="00C20C2C" w:rsidRDefault="00C20C2C" w:rsidP="00C20C2C">
      <w:pPr>
        <w:pStyle w:val="Paragraphedeliste"/>
        <w:numPr>
          <w:ilvl w:val="0"/>
          <w:numId w:val="42"/>
        </w:numPr>
        <w:spacing w:after="200" w:line="276" w:lineRule="auto"/>
        <w:jc w:val="both"/>
      </w:pPr>
      <w:r w:rsidRPr="007D0CD1">
        <w:t xml:space="preserve">l’élaboration des plans de gestion environnementale et sociale </w:t>
      </w:r>
      <w:r>
        <w:t xml:space="preserve">(PGES), comprenant, entre autres choses, un système de surveillance technique et de suivi des mesures d’atténuation des risques environnementaux et sociaux ; </w:t>
      </w:r>
      <w:r w:rsidRPr="007D0CD1">
        <w:t xml:space="preserve"> </w:t>
      </w:r>
    </w:p>
    <w:p w14:paraId="2AF2A895" w14:textId="72086299" w:rsidR="00C20C2C" w:rsidRPr="007D0CD1" w:rsidRDefault="00C20C2C" w:rsidP="00C20C2C">
      <w:pPr>
        <w:pStyle w:val="Paragraphedeliste"/>
        <w:numPr>
          <w:ilvl w:val="0"/>
          <w:numId w:val="42"/>
        </w:numPr>
        <w:spacing w:after="200" w:line="276" w:lineRule="auto"/>
        <w:jc w:val="both"/>
      </w:pPr>
      <w:r w:rsidRPr="007D0CD1">
        <w:t>l’estimation de</w:t>
      </w:r>
      <w:r>
        <w:t xml:space="preserve">s </w:t>
      </w:r>
      <w:r w:rsidRPr="007D0CD1">
        <w:t>coûts</w:t>
      </w:r>
      <w:r>
        <w:t xml:space="preserve"> relatifs aux PGES, y compris par rapport aux mesures de suivi technique et surveillance et les initiatives de renforcement des capacités) ;</w:t>
      </w:r>
    </w:p>
    <w:p w14:paraId="3A3A2F60" w14:textId="46BB7C05" w:rsidR="00C20C2C" w:rsidRDefault="00C20C2C" w:rsidP="00C20C2C">
      <w:pPr>
        <w:pStyle w:val="Paragraphedeliste"/>
        <w:numPr>
          <w:ilvl w:val="0"/>
          <w:numId w:val="42"/>
        </w:numPr>
        <w:spacing w:after="200" w:line="276" w:lineRule="auto"/>
        <w:jc w:val="both"/>
      </w:pPr>
      <w:r w:rsidRPr="007D0CD1">
        <w:t>l’élaboration d’un Plan d’Action de Réinstallation (PAR) et l’estimation de son coût</w:t>
      </w:r>
      <w:r>
        <w:t>.</w:t>
      </w:r>
    </w:p>
    <w:p w14:paraId="1939A9EC" w14:textId="7905A1AE" w:rsidR="00E43B15" w:rsidRPr="00C20C2C" w:rsidRDefault="00E43B15" w:rsidP="00E43B15">
      <w:pPr>
        <w:pStyle w:val="Paragraphedeliste"/>
        <w:numPr>
          <w:ilvl w:val="0"/>
          <w:numId w:val="13"/>
        </w:numPr>
        <w:spacing w:line="276" w:lineRule="auto"/>
        <w:jc w:val="both"/>
      </w:pPr>
      <w:r w:rsidRPr="00C20C2C">
        <w:t>Le Ministre de l’Agriculture</w:t>
      </w:r>
      <w:r w:rsidR="00C20C2C">
        <w:t xml:space="preserve"> de l’Elevage et de la Pêche</w:t>
      </w:r>
      <w:r w:rsidRPr="00C20C2C">
        <w:t xml:space="preserve"> à travers le Coordinateur National du PARIIS Mali invite les candidats admissibles</w:t>
      </w:r>
      <w:r w:rsidRPr="00C20C2C">
        <w:rPr>
          <w:b/>
        </w:rPr>
        <w:t> </w:t>
      </w:r>
      <w:r w:rsidRPr="00C20C2C">
        <w:t xml:space="preserve">à manifester leur intérêt à fournir des services décrits ci-dessus. Les Consultants intéressés doivent fournir les informations indiquant qu'ils sont qualifiés pour exécuter les services ainsi sollicités (Référence du </w:t>
      </w:r>
      <w:r w:rsidRPr="00C20C2C">
        <w:lastRenderedPageBreak/>
        <w:t>consultant, le nombre d’années d’expérience, les références concernant l’exécution de contrats analogues et les expériences dans des conditions semblables, disponibilité des connaissances nécessaires parmi le personnel permanent, etc.). </w:t>
      </w:r>
    </w:p>
    <w:p w14:paraId="4C392FD7" w14:textId="57CD6180" w:rsidR="00E43B15" w:rsidRPr="00595343" w:rsidRDefault="00846F7A" w:rsidP="00846F7A">
      <w:pPr>
        <w:pStyle w:val="Paragraphedeliste"/>
        <w:numPr>
          <w:ilvl w:val="0"/>
          <w:numId w:val="13"/>
        </w:numPr>
        <w:spacing w:line="276" w:lineRule="auto"/>
        <w:jc w:val="both"/>
        <w:rPr>
          <w:b/>
        </w:rPr>
      </w:pPr>
      <w:bookmarkStart w:id="2" w:name="_Toc1497657"/>
      <w:r w:rsidRPr="00595343">
        <w:rPr>
          <w:b/>
        </w:rPr>
        <w:t>Profil du consultant</w:t>
      </w:r>
      <w:bookmarkEnd w:id="2"/>
    </w:p>
    <w:p w14:paraId="7205CC62" w14:textId="77777777" w:rsidR="003A3FE3" w:rsidRPr="00572364" w:rsidRDefault="003A3FE3" w:rsidP="003A3FE3">
      <w:r w:rsidRPr="00572364">
        <w:t xml:space="preserve">Le Consultant devra être un bureau d’Etude </w:t>
      </w:r>
      <w:r>
        <w:t>spécialisé dans les études environnementales et sociales</w:t>
      </w:r>
      <w:r w:rsidRPr="00572364">
        <w:t xml:space="preserve">, ayant une solide expérience </w:t>
      </w:r>
      <w:r w:rsidRPr="00572364">
        <w:rPr>
          <w:rFonts w:eastAsia="Calibri"/>
          <w:bCs/>
          <w:szCs w:val="22"/>
          <w:lang w:eastAsia="de-DE"/>
        </w:rPr>
        <w:t>avérée</w:t>
      </w:r>
      <w:r w:rsidRPr="00572364">
        <w:t xml:space="preserve"> dans</w:t>
      </w:r>
      <w:r>
        <w:t xml:space="preserve"> le domaine</w:t>
      </w:r>
      <w:r w:rsidRPr="00572364">
        <w:t xml:space="preserve"> l’évaluation environnementale et sociale. </w:t>
      </w:r>
    </w:p>
    <w:p w14:paraId="637EB2ED" w14:textId="77777777" w:rsidR="003A3FE3" w:rsidRPr="00572364" w:rsidRDefault="003A3FE3" w:rsidP="003A3FE3">
      <w:r w:rsidRPr="00572364">
        <w:t>Le</w:t>
      </w:r>
      <w:r>
        <w:t xml:space="preserve"> Personnel clé du</w:t>
      </w:r>
      <w:r w:rsidRPr="00572364">
        <w:t xml:space="preserve"> consultant devra :</w:t>
      </w:r>
    </w:p>
    <w:p w14:paraId="0EA31A86" w14:textId="77777777" w:rsidR="003A3FE3" w:rsidRPr="00B3558C" w:rsidRDefault="003A3FE3" w:rsidP="003A3FE3">
      <w:pPr>
        <w:pStyle w:val="Paragraphedeliste"/>
        <w:numPr>
          <w:ilvl w:val="0"/>
          <w:numId w:val="44"/>
        </w:numPr>
        <w:spacing w:after="200" w:line="276" w:lineRule="auto"/>
        <w:jc w:val="both"/>
        <w:rPr>
          <w:rFonts w:eastAsia="Calibri"/>
        </w:rPr>
      </w:pPr>
      <w:r w:rsidRPr="00B3558C">
        <w:rPr>
          <w:rFonts w:eastAsia="Calibri"/>
        </w:rPr>
        <w:t>avoir une connaissance des risques environnementaux et sociaux liés aux domaines clés d’intervention du projet PARIIS (irrigation, intensification agricole, transformation agricole, etc.) ;</w:t>
      </w:r>
    </w:p>
    <w:p w14:paraId="223D33CA" w14:textId="77777777" w:rsidR="003A3FE3" w:rsidRDefault="003A3FE3" w:rsidP="003A3FE3">
      <w:pPr>
        <w:pStyle w:val="Paragraphedeliste"/>
        <w:numPr>
          <w:ilvl w:val="0"/>
          <w:numId w:val="44"/>
        </w:numPr>
        <w:spacing w:after="200" w:line="276" w:lineRule="auto"/>
        <w:jc w:val="both"/>
        <w:rPr>
          <w:rFonts w:eastAsia="Calibri"/>
        </w:rPr>
      </w:pPr>
      <w:r w:rsidRPr="00B3558C">
        <w:rPr>
          <w:rFonts w:eastAsia="Calibri"/>
        </w:rPr>
        <w:t>maîtriser les dispositions juridiques et institutionnelles encadrant les évaluations environnementales et sociales au Mali ;</w:t>
      </w:r>
    </w:p>
    <w:p w14:paraId="20F88D33" w14:textId="77777777" w:rsidR="003A3FE3" w:rsidRPr="00FC725F" w:rsidRDefault="003A3FE3" w:rsidP="003A3FE3">
      <w:pPr>
        <w:pStyle w:val="Paragraphedeliste"/>
        <w:numPr>
          <w:ilvl w:val="0"/>
          <w:numId w:val="44"/>
        </w:numPr>
        <w:spacing w:after="200" w:line="276" w:lineRule="auto"/>
        <w:jc w:val="both"/>
        <w:rPr>
          <w:rFonts w:eastAsia="Calibri"/>
        </w:rPr>
      </w:pPr>
      <w:r w:rsidRPr="00B3558C">
        <w:t>avoir conduit</w:t>
      </w:r>
      <w:r>
        <w:t xml:space="preserve"> au moins trois (3) missions</w:t>
      </w:r>
      <w:r w:rsidRPr="00B3558C">
        <w:t xml:space="preserve"> des études similaires</w:t>
      </w:r>
      <w:r>
        <w:t xml:space="preserve"> au cours des cinq (5) dernières années</w:t>
      </w:r>
      <w:r w:rsidRPr="00B3558C">
        <w:t> ;</w:t>
      </w:r>
      <w:r>
        <w:t xml:space="preserve"> </w:t>
      </w:r>
    </w:p>
    <w:p w14:paraId="7A4D9592" w14:textId="77777777" w:rsidR="003A3FE3" w:rsidRPr="00FC725F" w:rsidRDefault="003A3FE3" w:rsidP="003A3FE3">
      <w:pPr>
        <w:pStyle w:val="Paragraphedeliste"/>
        <w:numPr>
          <w:ilvl w:val="0"/>
          <w:numId w:val="44"/>
        </w:numPr>
        <w:spacing w:after="200" w:line="276" w:lineRule="auto"/>
        <w:jc w:val="both"/>
        <w:rPr>
          <w:rFonts w:eastAsia="Calibri"/>
        </w:rPr>
      </w:pPr>
      <w:r w:rsidRPr="00B3558C">
        <w:rPr>
          <w:rFonts w:eastAsia="Calibri"/>
        </w:rPr>
        <w:t>connaître les politiques opérationnelles de la Banque mondiale en matière de sauvegardes environnementales et sociales ;</w:t>
      </w:r>
      <w:r>
        <w:rPr>
          <w:rFonts w:eastAsia="Calibri"/>
        </w:rPr>
        <w:t xml:space="preserve"> </w:t>
      </w:r>
    </w:p>
    <w:p w14:paraId="0D6FFD26" w14:textId="77777777" w:rsidR="003A3FE3" w:rsidRPr="00B3558C" w:rsidRDefault="003A3FE3" w:rsidP="00114B15">
      <w:pPr>
        <w:pStyle w:val="Paragraphedeliste"/>
        <w:numPr>
          <w:ilvl w:val="0"/>
          <w:numId w:val="44"/>
        </w:numPr>
        <w:spacing w:line="276" w:lineRule="auto"/>
        <w:jc w:val="both"/>
        <w:rPr>
          <w:rFonts w:eastAsia="Calibri"/>
        </w:rPr>
      </w:pPr>
      <w:r w:rsidRPr="00B3558C">
        <w:rPr>
          <w:rFonts w:eastAsia="Calibri"/>
        </w:rPr>
        <w:t>une expérience de projets de développement financés par la Banque Mondiale serait un atout.</w:t>
      </w:r>
    </w:p>
    <w:p w14:paraId="2BFED4DC" w14:textId="77777777" w:rsidR="003A3FE3" w:rsidRPr="00572364" w:rsidRDefault="003A3FE3" w:rsidP="003A3FE3">
      <w:r w:rsidRPr="00572364">
        <w:t>Pour mener à bien la mission, le consultant mobilisera le personnel clé ci-après :</w:t>
      </w:r>
    </w:p>
    <w:p w14:paraId="6A38D2E9" w14:textId="77777777" w:rsidR="003A3FE3" w:rsidRPr="00FC725F" w:rsidRDefault="003A3FE3" w:rsidP="00114B15">
      <w:pPr>
        <w:pStyle w:val="Paragraphedeliste"/>
        <w:numPr>
          <w:ilvl w:val="0"/>
          <w:numId w:val="43"/>
        </w:numPr>
        <w:jc w:val="both"/>
        <w:rPr>
          <w:rFonts w:eastAsia="Calibri"/>
        </w:rPr>
      </w:pPr>
      <w:r w:rsidRPr="00B3558C">
        <w:rPr>
          <w:b/>
        </w:rPr>
        <w:t>Un Expert en évaluation environnementale, Chef de mission </w:t>
      </w:r>
      <w:r w:rsidRPr="00B3558C">
        <w:t xml:space="preserve">: titulaire d’un diplôme de Bac + 5 en Science de l’Environnement et jouissant d’une expérience d’au moins 10 années dans le domaine des évaluations environnementales et sociales. Il </w:t>
      </w:r>
      <w:r w:rsidRPr="00B3558C">
        <w:rPr>
          <w:rFonts w:eastAsia="Calibri"/>
        </w:rPr>
        <w:t>devra avoir une bonne maîtrise des exigences de la Banque mondiale notamment les procédures et le cadre environnemental et social.</w:t>
      </w:r>
      <w:r>
        <w:t xml:space="preserve"> I</w:t>
      </w:r>
      <w:r w:rsidRPr="00B3558C">
        <w:t>l devrait en outre justifier d’une bonne expérience dans le secteur agricole et rural</w:t>
      </w:r>
      <w:r>
        <w:t>.</w:t>
      </w:r>
    </w:p>
    <w:p w14:paraId="2100306E" w14:textId="77777777" w:rsidR="003A3FE3" w:rsidRPr="00661E76" w:rsidRDefault="003A3FE3" w:rsidP="003A3FE3">
      <w:pPr>
        <w:pStyle w:val="Paragraphedeliste"/>
        <w:numPr>
          <w:ilvl w:val="0"/>
          <w:numId w:val="43"/>
        </w:numPr>
        <w:spacing w:before="100" w:beforeAutospacing="1"/>
        <w:jc w:val="both"/>
      </w:pPr>
      <w:r w:rsidRPr="00B3558C">
        <w:rPr>
          <w:b/>
        </w:rPr>
        <w:t>Un expert en développement social/ Sociologue :</w:t>
      </w:r>
      <w:r w:rsidRPr="00B3558C">
        <w:t xml:space="preserve"> de niveau minimum Bac+4 </w:t>
      </w:r>
      <w:r w:rsidRPr="00B3558C">
        <w:rPr>
          <w:bCs/>
          <w:lang w:eastAsia="de-DE"/>
        </w:rPr>
        <w:t>dans un domaine pertinent lié aux études sociologiques</w:t>
      </w:r>
      <w:r w:rsidRPr="00B3558C">
        <w:t xml:space="preserve"> et ayant une expérience d’au moins 5 ans dans les études sociales; il devrait entre autres être capable d’identifier et d’analyser les diagnostics sociaux économiques des communautés dans le monde rural.</w:t>
      </w:r>
      <w:r w:rsidRPr="00B3558C">
        <w:rPr>
          <w:rFonts w:eastAsia="Calibri"/>
          <w:bCs/>
          <w:lang w:eastAsia="de-DE"/>
        </w:rPr>
        <w:t xml:space="preserve"> Il doit avoir une expérience avérée dans</w:t>
      </w:r>
      <w:r>
        <w:rPr>
          <w:rFonts w:eastAsia="Calibri"/>
          <w:bCs/>
          <w:lang w:eastAsia="de-DE"/>
        </w:rPr>
        <w:t xml:space="preserve"> la conduite de consultations publiques et groupes focus, et </w:t>
      </w:r>
      <w:r w:rsidRPr="00B3558C">
        <w:rPr>
          <w:rFonts w:eastAsia="Calibri"/>
          <w:bCs/>
          <w:lang w:eastAsia="de-DE"/>
        </w:rPr>
        <w:t xml:space="preserve"> l’élaboration de Plan d’Action de Réinstallation </w:t>
      </w:r>
      <w:r>
        <w:rPr>
          <w:rFonts w:eastAsia="Calibri"/>
          <w:bCs/>
          <w:lang w:eastAsia="de-DE"/>
        </w:rPr>
        <w:t xml:space="preserve">dans le cadre d’un projet financé par </w:t>
      </w:r>
      <w:r w:rsidRPr="00B3558C">
        <w:rPr>
          <w:rFonts w:eastAsia="Calibri"/>
          <w:bCs/>
          <w:lang w:eastAsia="de-DE"/>
        </w:rPr>
        <w:t xml:space="preserve"> la Banque mondiale.</w:t>
      </w:r>
    </w:p>
    <w:p w14:paraId="1F4EA223" w14:textId="77777777" w:rsidR="003A3FE3" w:rsidRPr="00B3558C" w:rsidRDefault="003A3FE3" w:rsidP="003A3FE3">
      <w:pPr>
        <w:pStyle w:val="Paragraphedeliste"/>
        <w:numPr>
          <w:ilvl w:val="0"/>
          <w:numId w:val="43"/>
        </w:numPr>
        <w:spacing w:before="100" w:beforeAutospacing="1"/>
        <w:jc w:val="both"/>
      </w:pPr>
      <w:r>
        <w:rPr>
          <w:b/>
        </w:rPr>
        <w:t>Un expert en irrigation :</w:t>
      </w:r>
      <w:r>
        <w:t xml:space="preserve"> titulaire d’un diplôme de niveau Bac +5 minimum en Génie rural, Agronomie, ou disciplines similaires ayant une </w:t>
      </w:r>
      <w:r w:rsidRPr="00B3558C">
        <w:t>expérience d’au moins 5 ans dans les études</w:t>
      </w:r>
      <w:r>
        <w:t xml:space="preserve"> de faisabilités APS/APD-DAO et le contrôle de travaux d’aménagement hydro-agricoles</w:t>
      </w:r>
      <w:r w:rsidRPr="00B3558C">
        <w:rPr>
          <w:rFonts w:eastAsia="Calibri"/>
          <w:bCs/>
          <w:lang w:eastAsia="de-DE"/>
        </w:rPr>
        <w:t>.</w:t>
      </w:r>
      <w:r>
        <w:rPr>
          <w:rFonts w:eastAsia="Calibri"/>
          <w:bCs/>
          <w:lang w:eastAsia="de-DE"/>
        </w:rPr>
        <w:t xml:space="preserve"> </w:t>
      </w:r>
      <w:r>
        <w:t>I</w:t>
      </w:r>
      <w:r w:rsidRPr="00B3558C">
        <w:t xml:space="preserve">l devrait en outre </w:t>
      </w:r>
      <w:r>
        <w:t>justifier d’une bonne connaissance de la petite irrigation communautaire (irrigation de proximité).</w:t>
      </w:r>
    </w:p>
    <w:p w14:paraId="756ABEF7" w14:textId="1CBC4FE1" w:rsidR="003A3FE3" w:rsidRDefault="003A3FE3" w:rsidP="003A3FE3">
      <w:pPr>
        <w:autoSpaceDE w:val="0"/>
        <w:autoSpaceDN w:val="0"/>
        <w:adjustRightInd w:val="0"/>
        <w:rPr>
          <w:bCs/>
          <w:lang w:eastAsia="de-DE"/>
        </w:rPr>
      </w:pPr>
      <w:r>
        <w:rPr>
          <w:rFonts w:eastAsia="Calibri"/>
          <w:lang w:eastAsia="de-DE"/>
        </w:rPr>
        <w:t>C</w:t>
      </w:r>
      <w:r w:rsidRPr="009B0008">
        <w:rPr>
          <w:rFonts w:eastAsia="Calibri"/>
          <w:lang w:eastAsia="de-DE"/>
        </w:rPr>
        <w:t>es experts devront avoir une bonne connaissance de la langue française (lire, écrire et parler couramment). La connaissance du Bambara (parlé) serait un atout</w:t>
      </w:r>
    </w:p>
    <w:p w14:paraId="541B5E91" w14:textId="55A62102" w:rsidR="00E43B15" w:rsidRPr="00595343" w:rsidRDefault="00E43B15" w:rsidP="00846F7A">
      <w:pPr>
        <w:pStyle w:val="Paragraphedeliste"/>
        <w:numPr>
          <w:ilvl w:val="0"/>
          <w:numId w:val="13"/>
        </w:numPr>
        <w:spacing w:line="276" w:lineRule="auto"/>
        <w:jc w:val="both"/>
        <w:rPr>
          <w:b/>
        </w:rPr>
      </w:pPr>
      <w:bookmarkStart w:id="3" w:name="_Toc1497658"/>
      <w:r w:rsidRPr="00595343">
        <w:rPr>
          <w:b/>
        </w:rPr>
        <w:t>R</w:t>
      </w:r>
      <w:r w:rsidR="00846F7A" w:rsidRPr="00595343">
        <w:rPr>
          <w:b/>
        </w:rPr>
        <w:t>apports</w:t>
      </w:r>
      <w:bookmarkEnd w:id="3"/>
    </w:p>
    <w:p w14:paraId="089F4615" w14:textId="77777777" w:rsidR="003A3FE3" w:rsidRPr="00D256EC" w:rsidRDefault="003A3FE3" w:rsidP="003A3FE3">
      <w:pPr>
        <w:rPr>
          <w:rFonts w:eastAsia="Calibri"/>
        </w:rPr>
      </w:pPr>
      <w:r w:rsidRPr="00D256EC">
        <w:rPr>
          <w:rFonts w:eastAsia="Calibri"/>
        </w:rPr>
        <w:t>Les consultants fourniront :</w:t>
      </w:r>
    </w:p>
    <w:p w14:paraId="5FAAC9A5" w14:textId="06C1BD7F" w:rsidR="003A3FE3" w:rsidRPr="00D256EC" w:rsidRDefault="003A3FE3" w:rsidP="003A3FE3">
      <w:pPr>
        <w:pStyle w:val="Paragraphedeliste"/>
        <w:numPr>
          <w:ilvl w:val="0"/>
          <w:numId w:val="45"/>
        </w:numPr>
        <w:spacing w:after="200" w:line="276" w:lineRule="auto"/>
        <w:jc w:val="both"/>
        <w:rPr>
          <w:rFonts w:eastAsia="Calibri"/>
        </w:rPr>
      </w:pPr>
      <w:r w:rsidRPr="00AB270B">
        <w:rPr>
          <w:rFonts w:eastAsia="Calibri"/>
        </w:rPr>
        <w:t xml:space="preserve">Un </w:t>
      </w:r>
      <w:r w:rsidRPr="0009050C">
        <w:rPr>
          <w:rFonts w:eastAsia="Calibri"/>
        </w:rPr>
        <w:t xml:space="preserve">rapport provisoire </w:t>
      </w:r>
      <w:r>
        <w:rPr>
          <w:rFonts w:eastAsia="Calibri"/>
        </w:rPr>
        <w:t>des quatre</w:t>
      </w:r>
      <w:r w:rsidRPr="00AB270B">
        <w:rPr>
          <w:rFonts w:eastAsia="Calibri"/>
        </w:rPr>
        <w:t xml:space="preserve"> études en français</w:t>
      </w:r>
      <w:r>
        <w:rPr>
          <w:rFonts w:eastAsia="Calibri"/>
        </w:rPr>
        <w:t> :</w:t>
      </w:r>
      <w:r w:rsidRPr="00AB270B">
        <w:rPr>
          <w:rFonts w:eastAsia="Calibri"/>
        </w:rPr>
        <w:t xml:space="preserve"> en quinze (15) copies et une copie électronique</w:t>
      </w:r>
      <w:r>
        <w:rPr>
          <w:rFonts w:eastAsia="Calibri"/>
        </w:rPr>
        <w:t xml:space="preserve"> (avec un résumé exécutif en français)</w:t>
      </w:r>
      <w:r w:rsidRPr="0009050C">
        <w:rPr>
          <w:rFonts w:eastAsia="Calibri"/>
        </w:rPr>
        <w:t xml:space="preserve">. </w:t>
      </w:r>
    </w:p>
    <w:p w14:paraId="3606970F" w14:textId="1E48F4EF" w:rsidR="003A3FE3" w:rsidRPr="00D256EC" w:rsidRDefault="003A3FE3" w:rsidP="003A3FE3">
      <w:pPr>
        <w:pStyle w:val="Paragraphedeliste"/>
        <w:numPr>
          <w:ilvl w:val="0"/>
          <w:numId w:val="45"/>
        </w:numPr>
        <w:spacing w:after="200" w:line="276" w:lineRule="auto"/>
        <w:jc w:val="both"/>
        <w:rPr>
          <w:rFonts w:eastAsia="Calibri"/>
        </w:rPr>
      </w:pPr>
      <w:r>
        <w:rPr>
          <w:rFonts w:eastAsia="Calibri"/>
        </w:rPr>
        <w:t>Le rapport révisé des quatre</w:t>
      </w:r>
      <w:r w:rsidRPr="0009050C">
        <w:rPr>
          <w:rFonts w:eastAsia="Calibri"/>
        </w:rPr>
        <w:t xml:space="preserve"> études, intégrant les commentaires et suggestions du Comité technique interministériel d’analyse des rapports et de la Banque mondiale dans le document final. </w:t>
      </w:r>
    </w:p>
    <w:p w14:paraId="35DDE54E" w14:textId="24144540" w:rsidR="003A3FE3" w:rsidRPr="004803E7" w:rsidRDefault="003A3FE3" w:rsidP="003A3FE3">
      <w:pPr>
        <w:pStyle w:val="Paragraphedeliste"/>
        <w:numPr>
          <w:ilvl w:val="0"/>
          <w:numId w:val="45"/>
        </w:numPr>
        <w:spacing w:after="200" w:line="276" w:lineRule="auto"/>
        <w:jc w:val="both"/>
        <w:rPr>
          <w:rFonts w:eastAsia="Calibri"/>
        </w:rPr>
      </w:pPr>
      <w:r>
        <w:rPr>
          <w:rFonts w:eastAsia="Calibri"/>
        </w:rPr>
        <w:lastRenderedPageBreak/>
        <w:t>Le rapport final des quatre</w:t>
      </w:r>
      <w:r w:rsidRPr="00AB270B">
        <w:rPr>
          <w:rFonts w:eastAsia="Calibri"/>
        </w:rPr>
        <w:t xml:space="preserve"> études (en cinq copies et en version électron</w:t>
      </w:r>
      <w:r>
        <w:rPr>
          <w:rFonts w:eastAsia="Calibri"/>
        </w:rPr>
        <w:t>ique)</w:t>
      </w:r>
      <w:r w:rsidRPr="00AB270B">
        <w:rPr>
          <w:rFonts w:eastAsia="Calibri"/>
        </w:rPr>
        <w:t>, intégrant des commentaires additionnels</w:t>
      </w:r>
      <w:r>
        <w:rPr>
          <w:rFonts w:eastAsia="Calibri"/>
        </w:rPr>
        <w:t>, avec un résumé exécutif en anglais.</w:t>
      </w:r>
    </w:p>
    <w:p w14:paraId="00D17D95" w14:textId="5EB14582" w:rsidR="00E43B15" w:rsidRPr="00595343" w:rsidRDefault="00846F7A" w:rsidP="00846F7A">
      <w:pPr>
        <w:pStyle w:val="Paragraphedeliste"/>
        <w:numPr>
          <w:ilvl w:val="0"/>
          <w:numId w:val="13"/>
        </w:numPr>
        <w:spacing w:line="276" w:lineRule="auto"/>
        <w:jc w:val="both"/>
        <w:rPr>
          <w:b/>
        </w:rPr>
      </w:pPr>
      <w:bookmarkStart w:id="4" w:name="_Toc1497659"/>
      <w:r w:rsidRPr="00595343">
        <w:rPr>
          <w:b/>
        </w:rPr>
        <w:t>Durée de la prestation</w:t>
      </w:r>
      <w:bookmarkEnd w:id="4"/>
      <w:r w:rsidRPr="00595343">
        <w:rPr>
          <w:b/>
        </w:rPr>
        <w:t xml:space="preserve"> </w:t>
      </w:r>
    </w:p>
    <w:p w14:paraId="7FCB5C12" w14:textId="00FA5B22" w:rsidR="00E43B15" w:rsidRDefault="00E43B15" w:rsidP="00E43B15">
      <w:r w:rsidRPr="00595343">
        <w:t>La prestation est prévue po</w:t>
      </w:r>
      <w:r w:rsidR="003A3FE3">
        <w:t>ur une durée maximum de quarante-cinq (45</w:t>
      </w:r>
      <w:r w:rsidRPr="00595343">
        <w:t>) jours.</w:t>
      </w:r>
    </w:p>
    <w:p w14:paraId="0EB02B8D" w14:textId="77777777" w:rsidR="004B3CDE" w:rsidRPr="00A903D1" w:rsidRDefault="004B3CDE" w:rsidP="00846F7A">
      <w:pPr>
        <w:pStyle w:val="Paragraphedeliste"/>
        <w:numPr>
          <w:ilvl w:val="0"/>
          <w:numId w:val="13"/>
        </w:numPr>
        <w:jc w:val="both"/>
      </w:pPr>
      <w:r w:rsidRPr="00A903D1">
        <w:t xml:space="preserve">Les Consultants seront notés sur 100 points et les dossiers seront analysés sur la base des critères suivants: </w:t>
      </w:r>
    </w:p>
    <w:p w14:paraId="0AB1C36D" w14:textId="112E3EC7" w:rsidR="004B3CDE" w:rsidRPr="00A903D1" w:rsidRDefault="00D15851" w:rsidP="004B3CDE">
      <w:pPr>
        <w:numPr>
          <w:ilvl w:val="0"/>
          <w:numId w:val="2"/>
        </w:numPr>
      </w:pPr>
      <w:r w:rsidRPr="00A903D1">
        <w:rPr>
          <w:b/>
        </w:rPr>
        <w:t>*Critère 1</w:t>
      </w:r>
      <w:r w:rsidRPr="00A903D1">
        <w:t> : l’expérience générale du consult</w:t>
      </w:r>
      <w:r w:rsidR="004B3CDE" w:rsidRPr="00A903D1">
        <w:t xml:space="preserve">ant en rapport avec la mission en </w:t>
      </w:r>
      <w:r w:rsidRPr="00A903D1">
        <w:t>nombre d’</w:t>
      </w:r>
      <w:r w:rsidR="004B3CDE" w:rsidRPr="00A903D1">
        <w:t>année d’exis</w:t>
      </w:r>
      <w:r w:rsidR="000018BE" w:rsidRPr="00A903D1">
        <w:t>tence du consultant (total de 25</w:t>
      </w:r>
      <w:r w:rsidR="004B3CDE" w:rsidRPr="00A903D1">
        <w:t xml:space="preserve"> points à raison de 1,</w:t>
      </w:r>
      <w:r w:rsidR="000018BE" w:rsidRPr="00A903D1">
        <w:t>2</w:t>
      </w:r>
      <w:r w:rsidR="004B3CDE" w:rsidRPr="00A903D1">
        <w:t>5 point par année d’expérience)</w:t>
      </w:r>
    </w:p>
    <w:p w14:paraId="76EA492B" w14:textId="190BB57A" w:rsidR="004B3CDE" w:rsidRPr="00A903D1" w:rsidRDefault="00D15851" w:rsidP="004B3CDE">
      <w:pPr>
        <w:numPr>
          <w:ilvl w:val="0"/>
          <w:numId w:val="2"/>
        </w:numPr>
      </w:pPr>
      <w:r w:rsidRPr="00A903D1">
        <w:t>*</w:t>
      </w:r>
      <w:r w:rsidRPr="00A903D1">
        <w:rPr>
          <w:b/>
        </w:rPr>
        <w:t>Critère 2</w:t>
      </w:r>
      <w:r w:rsidRPr="00A903D1">
        <w:t> : l’expérience pertinente du consult</w:t>
      </w:r>
      <w:r w:rsidR="004B3CDE" w:rsidRPr="00A903D1">
        <w:t xml:space="preserve">ant en rapport avec la mission en </w:t>
      </w:r>
      <w:r w:rsidRPr="00A903D1">
        <w:t>nombre de missions similaires réalisées dûment justifiées pa</w:t>
      </w:r>
      <w:r w:rsidR="004B3CDE" w:rsidRPr="00A903D1">
        <w:t>r des certi</w:t>
      </w:r>
      <w:r w:rsidR="00A903D1" w:rsidRPr="00A903D1">
        <w:t>ficats de bonnes fin (total de 6</w:t>
      </w:r>
      <w:r w:rsidR="000018BE" w:rsidRPr="00A903D1">
        <w:t>5</w:t>
      </w:r>
      <w:r w:rsidR="004B3CDE" w:rsidRPr="00A903D1">
        <w:t xml:space="preserve"> points à raison de </w:t>
      </w:r>
      <w:r w:rsidR="000018BE" w:rsidRPr="00A903D1">
        <w:t>2,5 points par EIES/PGES et PAR</w:t>
      </w:r>
      <w:r w:rsidR="004B3CDE" w:rsidRPr="00A903D1">
        <w:t>) ;</w:t>
      </w:r>
    </w:p>
    <w:p w14:paraId="5255F704" w14:textId="6A3D23DC" w:rsidR="004B3CDE" w:rsidRPr="00A903D1" w:rsidRDefault="00D15851" w:rsidP="004B3CDE">
      <w:pPr>
        <w:numPr>
          <w:ilvl w:val="0"/>
          <w:numId w:val="2"/>
        </w:numPr>
      </w:pPr>
      <w:r w:rsidRPr="00A903D1">
        <w:t>*</w:t>
      </w:r>
      <w:r w:rsidRPr="00A903D1">
        <w:rPr>
          <w:b/>
        </w:rPr>
        <w:t>Critère 3</w:t>
      </w:r>
      <w:r w:rsidRPr="00A903D1">
        <w:t> : la connaiss</w:t>
      </w:r>
      <w:r w:rsidR="004B3CDE" w:rsidRPr="00A903D1">
        <w:t xml:space="preserve">ance de la zone d’intervention en </w:t>
      </w:r>
      <w:r w:rsidRPr="00A903D1">
        <w:t>nombre de mission similaires réalisées dans la zone, dûment justifiées p</w:t>
      </w:r>
      <w:r w:rsidR="004B3CDE" w:rsidRPr="00A903D1">
        <w:t>ar des certificats de bonne fin (1 points par mission similaire réalisée dans la zone dûment justifiée</w:t>
      </w:r>
      <w:r w:rsidR="000018BE" w:rsidRPr="00A903D1">
        <w:t xml:space="preserve"> noté sur 10 points</w:t>
      </w:r>
      <w:r w:rsidR="004B3CDE" w:rsidRPr="00A903D1">
        <w:t xml:space="preserve">). </w:t>
      </w:r>
    </w:p>
    <w:p w14:paraId="0692BF50" w14:textId="2D968E1E" w:rsidR="009D52A2" w:rsidRPr="00595343" w:rsidRDefault="00D15851" w:rsidP="00E67AAA">
      <w:pPr>
        <w:numPr>
          <w:ilvl w:val="0"/>
          <w:numId w:val="2"/>
        </w:numPr>
        <w:spacing w:line="276" w:lineRule="auto"/>
        <w:ind w:left="0"/>
      </w:pPr>
      <w:r w:rsidRPr="00595343">
        <w:t>NB :</w:t>
      </w:r>
      <w:r w:rsidR="00A36F13" w:rsidRPr="00595343">
        <w:t xml:space="preserve"> </w:t>
      </w:r>
      <w:r w:rsidR="00A36F13" w:rsidRPr="00595343">
        <w:rPr>
          <w:i/>
        </w:rPr>
        <w:t xml:space="preserve">Les références fournies par les consultants doivent être accompagnées obligatoirement par des attestations de </w:t>
      </w:r>
      <w:r w:rsidR="00EB47ED" w:rsidRPr="00595343">
        <w:rPr>
          <w:i/>
        </w:rPr>
        <w:t>bonne exécution</w:t>
      </w:r>
      <w:r w:rsidR="00A36F13" w:rsidRPr="00595343">
        <w:rPr>
          <w:i/>
        </w:rPr>
        <w:t>. Toute référence non accompagnée par une attestation de bonne exécution ne sera pas prise en compte</w:t>
      </w:r>
      <w:r w:rsidR="00A36F13" w:rsidRPr="00595343">
        <w:t>.</w:t>
      </w:r>
    </w:p>
    <w:p w14:paraId="46C20BE5" w14:textId="77777777" w:rsidR="0058342A" w:rsidRDefault="0058342A" w:rsidP="00803197">
      <w:pPr>
        <w:tabs>
          <w:tab w:val="left" w:pos="567"/>
        </w:tabs>
        <w:spacing w:line="276" w:lineRule="auto"/>
        <w:ind w:right="22"/>
      </w:pPr>
      <w:r w:rsidRPr="00595343">
        <w:t>Les six (</w:t>
      </w:r>
      <w:r w:rsidR="00722D00" w:rsidRPr="00595343">
        <w:t>0</w:t>
      </w:r>
      <w:r w:rsidRPr="00595343">
        <w:t xml:space="preserve">6) meilleurs consultants seront retenus pour figurer sur la liste restreinte. </w:t>
      </w:r>
    </w:p>
    <w:p w14:paraId="2D61E50D" w14:textId="77777777" w:rsidR="000018BE" w:rsidRPr="007A1857" w:rsidRDefault="000018BE" w:rsidP="000018BE">
      <w:pPr>
        <w:pStyle w:val="Paragraphedeliste"/>
        <w:numPr>
          <w:ilvl w:val="0"/>
          <w:numId w:val="13"/>
        </w:numPr>
        <w:spacing w:line="276" w:lineRule="auto"/>
        <w:ind w:left="0"/>
        <w:jc w:val="both"/>
      </w:pPr>
      <w:r w:rsidRPr="007A1857">
        <w:t>Il est porté à l’attention des Consultants que les dispositions du paragraphe 1.9 des « Directives : Sélection et Emploi de Consultants par les Emprunteurs de la Banque mondiale dans le cadre des Prêts de la BIRD et des Crédits et Dons de l’AID » de janvier 2011 (édition de Janvier 2011 révisée en Juillet 2014). (« Directives de Consultants »), relatives aux règles de la Banque mondiale en matière de conflit d’intérêts sont applicables.</w:t>
      </w:r>
    </w:p>
    <w:p w14:paraId="1F9CFA6B" w14:textId="77777777" w:rsidR="000018BE" w:rsidRPr="007A1857" w:rsidRDefault="000018BE" w:rsidP="000018BE">
      <w:pPr>
        <w:tabs>
          <w:tab w:val="left" w:pos="0"/>
        </w:tabs>
        <w:spacing w:line="276" w:lineRule="auto"/>
        <w:ind w:right="22"/>
      </w:pPr>
      <w:r w:rsidRPr="007A1857">
        <w:t>Les consultants peuvent s’associer pour renforcer leurs compétences respectives. La langue de soumission des dossiers est le français.</w:t>
      </w:r>
    </w:p>
    <w:p w14:paraId="643F946A" w14:textId="77777777" w:rsidR="000018BE" w:rsidRPr="00CF74D0" w:rsidRDefault="000018BE" w:rsidP="000018BE">
      <w:pPr>
        <w:pStyle w:val="Paragraphedeliste"/>
        <w:numPr>
          <w:ilvl w:val="0"/>
          <w:numId w:val="13"/>
        </w:numPr>
        <w:spacing w:line="276" w:lineRule="auto"/>
        <w:ind w:left="0"/>
        <w:jc w:val="both"/>
      </w:pPr>
      <w:r w:rsidRPr="00CF74D0">
        <w:t xml:space="preserve">Un Consultant sera sélectionné selon la méthode « sélection fondée sur la qualification des consultants (QC) » telle que décrite dans les Directives de Consultants. </w:t>
      </w:r>
    </w:p>
    <w:p w14:paraId="762D9387" w14:textId="5240B304" w:rsidR="000018BE" w:rsidRPr="00CF74D0" w:rsidRDefault="000018BE" w:rsidP="000018BE">
      <w:pPr>
        <w:spacing w:line="276" w:lineRule="auto"/>
        <w:rPr>
          <w:b/>
        </w:rPr>
      </w:pPr>
      <w:r w:rsidRPr="00CF74D0">
        <w:t>Les manifestations d’intérêt doivent être déposées sous plis fermés ou par courrier électronique (uniquement sous format non modifiable) avec la mention « </w:t>
      </w:r>
      <w:r w:rsidRPr="00CF74D0">
        <w:rPr>
          <w:b/>
        </w:rPr>
        <w:t xml:space="preserve">Manifestation d’intérêt pour le </w:t>
      </w:r>
      <w:r w:rsidRPr="00CF74D0">
        <w:rPr>
          <w:b/>
          <w:iCs/>
        </w:rPr>
        <w:t>recrut</w:t>
      </w:r>
      <w:r w:rsidR="00BD3475">
        <w:rPr>
          <w:b/>
          <w:iCs/>
        </w:rPr>
        <w:t>ement d’un consultant chargé de</w:t>
      </w:r>
      <w:r w:rsidRPr="00CF74D0">
        <w:rPr>
          <w:b/>
          <w:iCs/>
        </w:rPr>
        <w:t xml:space="preserve"> </w:t>
      </w:r>
      <w:r w:rsidR="00BD3475">
        <w:rPr>
          <w:b/>
        </w:rPr>
        <w:t>la réalisation</w:t>
      </w:r>
      <w:r w:rsidR="00BD3475" w:rsidRPr="00595343">
        <w:rPr>
          <w:b/>
        </w:rPr>
        <w:t xml:space="preserve"> </w:t>
      </w:r>
      <w:r w:rsidR="008F06DC">
        <w:rPr>
          <w:b/>
        </w:rPr>
        <w:t>des études d’impact environnemental et social</w:t>
      </w:r>
      <w:r w:rsidR="00BD3475" w:rsidRPr="00C20C2C">
        <w:rPr>
          <w:b/>
        </w:rPr>
        <w:t xml:space="preserve"> de quatr</w:t>
      </w:r>
      <w:r w:rsidR="00BD3475">
        <w:rPr>
          <w:b/>
        </w:rPr>
        <w:t>e (4) sous-projets de la 2ème  G</w:t>
      </w:r>
      <w:r w:rsidR="00BD3475" w:rsidRPr="00C20C2C">
        <w:rPr>
          <w:b/>
        </w:rPr>
        <w:t>énération</w:t>
      </w:r>
      <w:r w:rsidR="00BD3475">
        <w:rPr>
          <w:b/>
        </w:rPr>
        <w:t xml:space="preserve"> </w:t>
      </w:r>
      <w:r w:rsidR="00BD3475" w:rsidRPr="00C20C2C">
        <w:rPr>
          <w:b/>
        </w:rPr>
        <w:t>du PARIIS</w:t>
      </w:r>
      <w:r w:rsidR="00BD3475">
        <w:rPr>
          <w:b/>
        </w:rPr>
        <w:t xml:space="preserve"> M</w:t>
      </w:r>
      <w:r w:rsidR="00BD3475" w:rsidRPr="00C20C2C">
        <w:rPr>
          <w:b/>
        </w:rPr>
        <w:t xml:space="preserve">ali </w:t>
      </w:r>
      <w:r w:rsidR="00E2559B" w:rsidRPr="00C20C2C">
        <w:rPr>
          <w:b/>
        </w:rPr>
        <w:t>(</w:t>
      </w:r>
      <w:r w:rsidR="00E2559B" w:rsidRPr="00E2559B">
        <w:rPr>
          <w:b/>
        </w:rPr>
        <w:t>Moribougou3, Kolo, Gouana et Djébé</w:t>
      </w:r>
      <w:r w:rsidR="00E2559B" w:rsidRPr="00C20C2C">
        <w:rPr>
          <w:b/>
        </w:rPr>
        <w:t>)</w:t>
      </w:r>
      <w:r w:rsidRPr="00CF74D0">
        <w:t xml:space="preserve">» au plus tard </w:t>
      </w:r>
      <w:r w:rsidRPr="00A903D1">
        <w:rPr>
          <w:b/>
        </w:rPr>
        <w:t xml:space="preserve">le </w:t>
      </w:r>
      <w:r w:rsidR="00A903D1" w:rsidRPr="00A903D1">
        <w:rPr>
          <w:b/>
        </w:rPr>
        <w:t xml:space="preserve">18 </w:t>
      </w:r>
      <w:r w:rsidR="00BD3475" w:rsidRPr="00A903D1">
        <w:rPr>
          <w:b/>
        </w:rPr>
        <w:t>février 2021</w:t>
      </w:r>
      <w:r w:rsidRPr="00A903D1">
        <w:t xml:space="preserve"> </w:t>
      </w:r>
      <w:r w:rsidRPr="00CF74D0">
        <w:t xml:space="preserve">avant 16 h 00 (TU) à l’Unité de Gestion du Projet d’Appui Régional  à l’Initiative pour l’Irrigation au Sahel (PARIIS MALI) Hamdallaye ACI 2000 Bamako, Rue 333 Porte : 16 ; Tél. : 20 23 33 46 / 20 23 34 20 / 66 73 05 64 ; Email : hamedtraore303@gmail.com / </w:t>
      </w:r>
      <w:hyperlink r:id="rId8" w:history="1">
        <w:r w:rsidRPr="00CF74D0">
          <w:t>bdembele@pariis.org</w:t>
        </w:r>
      </w:hyperlink>
      <w:r w:rsidRPr="00CF74D0">
        <w:t xml:space="preserve"> </w:t>
      </w:r>
    </w:p>
    <w:p w14:paraId="4D8186E5" w14:textId="037473A7" w:rsidR="000018BE" w:rsidRPr="00A903D1" w:rsidRDefault="00A903D1" w:rsidP="00A903D1">
      <w:pPr>
        <w:pStyle w:val="Paragraphedeliste"/>
        <w:spacing w:before="240" w:line="276" w:lineRule="auto"/>
        <w:ind w:left="4956"/>
        <w:jc w:val="both"/>
        <w:rPr>
          <w:b/>
        </w:rPr>
      </w:pPr>
      <w:r>
        <w:rPr>
          <w:b/>
        </w:rPr>
        <w:t xml:space="preserve">                       </w:t>
      </w:r>
      <w:r w:rsidR="000018BE" w:rsidRPr="00A903D1">
        <w:rPr>
          <w:b/>
        </w:rPr>
        <w:t>Bamako</w:t>
      </w:r>
      <w:r w:rsidR="002B6B18" w:rsidRPr="00A903D1">
        <w:rPr>
          <w:b/>
        </w:rPr>
        <w:t>,</w:t>
      </w:r>
      <w:r w:rsidR="000018BE" w:rsidRPr="00A903D1">
        <w:rPr>
          <w:b/>
        </w:rPr>
        <w:t xml:space="preserve"> le </w:t>
      </w:r>
      <w:r>
        <w:rPr>
          <w:b/>
        </w:rPr>
        <w:t>04 février</w:t>
      </w:r>
      <w:r w:rsidR="002B6B18" w:rsidRPr="00A903D1">
        <w:rPr>
          <w:b/>
        </w:rPr>
        <w:t xml:space="preserve"> </w:t>
      </w:r>
      <w:r w:rsidR="000018BE" w:rsidRPr="00A903D1">
        <w:rPr>
          <w:b/>
        </w:rPr>
        <w:t>20</w:t>
      </w:r>
      <w:r w:rsidR="002B6B18" w:rsidRPr="00A903D1">
        <w:rPr>
          <w:b/>
        </w:rPr>
        <w:t>21</w:t>
      </w:r>
    </w:p>
    <w:p w14:paraId="7D20EBE9" w14:textId="77777777" w:rsidR="000018BE" w:rsidRPr="007A1857" w:rsidRDefault="000018BE" w:rsidP="000018BE">
      <w:pPr>
        <w:spacing w:line="276" w:lineRule="auto"/>
        <w:ind w:left="4248" w:firstLine="708"/>
      </w:pPr>
      <w:r w:rsidRPr="007A1857">
        <w:rPr>
          <w:b/>
        </w:rPr>
        <w:t xml:space="preserve">Le Coordinateur National </w:t>
      </w:r>
    </w:p>
    <w:p w14:paraId="730738FC" w14:textId="77777777" w:rsidR="000018BE" w:rsidRPr="007A1857" w:rsidRDefault="000018BE" w:rsidP="000018BE">
      <w:pPr>
        <w:spacing w:line="276" w:lineRule="auto"/>
        <w:rPr>
          <w:b/>
        </w:rPr>
      </w:pPr>
    </w:p>
    <w:p w14:paraId="772218C0" w14:textId="77777777" w:rsidR="000018BE" w:rsidRPr="007A1857" w:rsidRDefault="000018BE" w:rsidP="000018BE">
      <w:pPr>
        <w:spacing w:line="276" w:lineRule="auto"/>
        <w:rPr>
          <w:b/>
        </w:rPr>
      </w:pPr>
    </w:p>
    <w:p w14:paraId="721C6BAB" w14:textId="77777777" w:rsidR="000018BE" w:rsidRPr="007A1857" w:rsidRDefault="000018BE" w:rsidP="000018BE">
      <w:pPr>
        <w:spacing w:line="276" w:lineRule="auto"/>
        <w:ind w:left="4248" w:right="240" w:firstLine="708"/>
        <w:rPr>
          <w:b/>
          <w:u w:val="single"/>
        </w:rPr>
      </w:pPr>
      <w:r w:rsidRPr="007A1857">
        <w:t xml:space="preserve">    </w:t>
      </w:r>
      <w:r w:rsidRPr="007A1857">
        <w:rPr>
          <w:b/>
          <w:u w:val="single"/>
        </w:rPr>
        <w:t>Dr Lamissa DIAKITE</w:t>
      </w:r>
    </w:p>
    <w:p w14:paraId="475B6AF1" w14:textId="77777777" w:rsidR="000018BE" w:rsidRPr="007A1857" w:rsidRDefault="000018BE" w:rsidP="000018BE">
      <w:pPr>
        <w:spacing w:line="276" w:lineRule="auto"/>
        <w:ind w:left="4248" w:right="240" w:firstLine="708"/>
      </w:pPr>
      <w:r w:rsidRPr="007A1857">
        <w:t xml:space="preserve">Chevalier de l’ordre National </w:t>
      </w:r>
    </w:p>
    <w:p w14:paraId="607A8C49" w14:textId="77777777" w:rsidR="002062BF" w:rsidRPr="00595343" w:rsidRDefault="002062BF" w:rsidP="00803197">
      <w:pPr>
        <w:spacing w:line="276" w:lineRule="auto"/>
        <w:ind w:left="4248" w:right="240" w:firstLine="708"/>
        <w:jc w:val="left"/>
      </w:pPr>
    </w:p>
    <w:sectPr w:rsidR="002062BF" w:rsidRPr="00595343" w:rsidSect="007025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C7A6F" w14:textId="77777777" w:rsidR="00C65F39" w:rsidRDefault="00C65F39" w:rsidP="00412FA5">
      <w:r>
        <w:separator/>
      </w:r>
    </w:p>
  </w:endnote>
  <w:endnote w:type="continuationSeparator" w:id="0">
    <w:p w14:paraId="6DC1FA0F" w14:textId="77777777" w:rsidR="00C65F39" w:rsidRDefault="00C65F39" w:rsidP="0041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721 LtCn BT">
    <w:altName w:val="Arial Narrow"/>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Condensed">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CA4C" w14:textId="77777777" w:rsidR="00E43B15" w:rsidRDefault="00E43B15">
    <w:pPr>
      <w:pStyle w:val="Pieddepage"/>
    </w:pPr>
    <w:r>
      <w:rPr>
        <w:noProof/>
      </w:rPr>
      <mc:AlternateContent>
        <mc:Choice Requires="wps">
          <w:drawing>
            <wp:anchor distT="0" distB="0" distL="114300" distR="114300" simplePos="0" relativeHeight="251659264" behindDoc="0" locked="0" layoutInCell="0" allowOverlap="1" wp14:anchorId="3741DC09" wp14:editId="74A32998">
              <wp:simplePos x="0" y="0"/>
              <wp:positionH relativeFrom="page">
                <wp:posOffset>6663055</wp:posOffset>
              </wp:positionH>
              <wp:positionV relativeFrom="page">
                <wp:posOffset>9857740</wp:posOffset>
              </wp:positionV>
              <wp:extent cx="368300" cy="274320"/>
              <wp:effectExtent l="5080" t="8890" r="762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1FA1B12" w14:textId="77777777" w:rsidR="00E43B15" w:rsidRDefault="00E43B15">
                          <w:pPr>
                            <w:jc w:val="center"/>
                          </w:pPr>
                          <w:r>
                            <w:fldChar w:fldCharType="begin"/>
                          </w:r>
                          <w:r>
                            <w:instrText xml:space="preserve"> PAGE    \* MERGEFORMAT </w:instrText>
                          </w:r>
                          <w:r>
                            <w:fldChar w:fldCharType="separate"/>
                          </w:r>
                          <w:r w:rsidR="004E3512" w:rsidRPr="004E3512">
                            <w:rPr>
                              <w:noProof/>
                              <w:sz w:val="16"/>
                              <w:szCs w:val="16"/>
                            </w:rPr>
                            <w:t>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1DC0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524.65pt;margin-top:776.2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" o:allowincell="f" adj="14135" strokecolor="gray" strokeweight=".25pt">
              <v:textbox>
                <w:txbxContent>
                  <w:p w14:paraId="61FA1B12" w14:textId="77777777" w:rsidR="00E43B15" w:rsidRDefault="00E43B15">
                    <w:pPr>
                      <w:jc w:val="center"/>
                    </w:pPr>
                    <w:r>
                      <w:fldChar w:fldCharType="begin"/>
                    </w:r>
                    <w:r>
                      <w:instrText xml:space="preserve"> PAGE    \* MERGEFORMAT </w:instrText>
                    </w:r>
                    <w:r>
                      <w:fldChar w:fldCharType="separate"/>
                    </w:r>
                    <w:r w:rsidR="004E3512" w:rsidRPr="004E3512">
                      <w:rPr>
                        <w:noProof/>
                        <w:sz w:val="16"/>
                        <w:szCs w:val="1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1FD9A" w14:textId="77777777" w:rsidR="00C65F39" w:rsidRDefault="00C65F39" w:rsidP="00412FA5">
      <w:r>
        <w:separator/>
      </w:r>
    </w:p>
  </w:footnote>
  <w:footnote w:type="continuationSeparator" w:id="0">
    <w:p w14:paraId="0E39D728" w14:textId="77777777" w:rsidR="00C65F39" w:rsidRDefault="00C65F39" w:rsidP="00412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0E6B"/>
    <w:multiLevelType w:val="hybridMultilevel"/>
    <w:tmpl w:val="933A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396"/>
    <w:multiLevelType w:val="hybridMultilevel"/>
    <w:tmpl w:val="3E0CA246"/>
    <w:lvl w:ilvl="0" w:tplc="DA0A67D8">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BF4619"/>
    <w:multiLevelType w:val="hybridMultilevel"/>
    <w:tmpl w:val="D2F835CA"/>
    <w:lvl w:ilvl="0" w:tplc="E306092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8B10F3E"/>
    <w:multiLevelType w:val="hybridMultilevel"/>
    <w:tmpl w:val="025008DE"/>
    <w:lvl w:ilvl="0" w:tplc="CB7E266A">
      <w:numFmt w:val="bullet"/>
      <w:lvlText w:val="-"/>
      <w:lvlJc w:val="left"/>
      <w:pPr>
        <w:ind w:left="360" w:hanging="360"/>
      </w:pPr>
      <w:rPr>
        <w:rFonts w:ascii="Calibri" w:eastAsia="Times New Roman" w:hAnsi="Calibri"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BE45B12"/>
    <w:multiLevelType w:val="hybridMultilevel"/>
    <w:tmpl w:val="0526E8BC"/>
    <w:lvl w:ilvl="0" w:tplc="360CF49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556E21"/>
    <w:multiLevelType w:val="hybridMultilevel"/>
    <w:tmpl w:val="90A48D86"/>
    <w:lvl w:ilvl="0" w:tplc="5C708CE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0F590E"/>
    <w:multiLevelType w:val="hybridMultilevel"/>
    <w:tmpl w:val="81F414CE"/>
    <w:lvl w:ilvl="0" w:tplc="040C0005">
      <w:start w:val="1"/>
      <w:numFmt w:val="bullet"/>
      <w:lvlText w:val=""/>
      <w:lvlJc w:val="left"/>
      <w:pPr>
        <w:ind w:left="928" w:hanging="360"/>
      </w:pPr>
      <w:rPr>
        <w:rFonts w:ascii="Wingdings" w:hAnsi="Wingdings" w:hint="default"/>
      </w:rPr>
    </w:lvl>
    <w:lvl w:ilvl="1" w:tplc="040C0019">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nsid w:val="16AA2262"/>
    <w:multiLevelType w:val="hybridMultilevel"/>
    <w:tmpl w:val="E0908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637F71"/>
    <w:multiLevelType w:val="hybridMultilevel"/>
    <w:tmpl w:val="0D526D5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1FB47BA2"/>
    <w:multiLevelType w:val="hybridMultilevel"/>
    <w:tmpl w:val="FA1EE9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3A6DD9"/>
    <w:multiLevelType w:val="hybridMultilevel"/>
    <w:tmpl w:val="6464B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9877DF"/>
    <w:multiLevelType w:val="hybridMultilevel"/>
    <w:tmpl w:val="5C7C80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41327A3"/>
    <w:multiLevelType w:val="hybridMultilevel"/>
    <w:tmpl w:val="CA62C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5C81157"/>
    <w:multiLevelType w:val="hybridMultilevel"/>
    <w:tmpl w:val="F47612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281A2BE2"/>
    <w:multiLevelType w:val="hybridMultilevel"/>
    <w:tmpl w:val="5BCC34A4"/>
    <w:lvl w:ilvl="0" w:tplc="040C000B">
      <w:start w:val="1"/>
      <w:numFmt w:val="bullet"/>
      <w:lvlText w:val=""/>
      <w:lvlJc w:val="left"/>
      <w:pPr>
        <w:ind w:left="360" w:hanging="360"/>
      </w:pPr>
      <w:rPr>
        <w:rFonts w:ascii="Wingdings" w:hAnsi="Wingdings" w:hint="default"/>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2B8B2EFA"/>
    <w:multiLevelType w:val="hybridMultilevel"/>
    <w:tmpl w:val="BBF09B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CFA35EE"/>
    <w:multiLevelType w:val="hybridMultilevel"/>
    <w:tmpl w:val="A56ED9D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6122B1"/>
    <w:multiLevelType w:val="hybridMultilevel"/>
    <w:tmpl w:val="CFE41C08"/>
    <w:lvl w:ilvl="0" w:tplc="FACE780C">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2EA81CA4"/>
    <w:multiLevelType w:val="hybridMultilevel"/>
    <w:tmpl w:val="C74EA4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F551F47"/>
    <w:multiLevelType w:val="hybridMultilevel"/>
    <w:tmpl w:val="747C2FBA"/>
    <w:lvl w:ilvl="0" w:tplc="F59043C6">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03D58D7"/>
    <w:multiLevelType w:val="hybridMultilevel"/>
    <w:tmpl w:val="D430D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0F909F7"/>
    <w:multiLevelType w:val="hybridMultilevel"/>
    <w:tmpl w:val="0D5A7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2D71E91"/>
    <w:multiLevelType w:val="multilevel"/>
    <w:tmpl w:val="F2D2FED8"/>
    <w:lvl w:ilvl="0">
      <w:start w:val="1"/>
      <w:numFmt w:val="decimal"/>
      <w:pStyle w:val="Titre1TDRAMO"/>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50B2E74"/>
    <w:multiLevelType w:val="hybridMultilevel"/>
    <w:tmpl w:val="919A4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80F5C1C"/>
    <w:multiLevelType w:val="hybridMultilevel"/>
    <w:tmpl w:val="FCC4A660"/>
    <w:lvl w:ilvl="0" w:tplc="F60835B8">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40C347BF"/>
    <w:multiLevelType w:val="hybridMultilevel"/>
    <w:tmpl w:val="B8AC5896"/>
    <w:lvl w:ilvl="0" w:tplc="06B81B02">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412C716B"/>
    <w:multiLevelType w:val="hybridMultilevel"/>
    <w:tmpl w:val="BF42D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3C46A13"/>
    <w:multiLevelType w:val="hybridMultilevel"/>
    <w:tmpl w:val="3426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377FC3"/>
    <w:multiLevelType w:val="hybridMultilevel"/>
    <w:tmpl w:val="3E6C2766"/>
    <w:lvl w:ilvl="0" w:tplc="55D8AEA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5E53382"/>
    <w:multiLevelType w:val="hybridMultilevel"/>
    <w:tmpl w:val="98964FD2"/>
    <w:lvl w:ilvl="0" w:tplc="2632AA10">
      <w:start w:val="1"/>
      <w:numFmt w:val="bullet"/>
      <w:lvlText w:val="-"/>
      <w:lvlJc w:val="left"/>
      <w:pPr>
        <w:ind w:left="720" w:hanging="360"/>
      </w:pPr>
      <w:rPr>
        <w:rFonts w:ascii="Swis721 LtCn BT" w:hAnsi="Swis721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5E63BC2"/>
    <w:multiLevelType w:val="hybridMultilevel"/>
    <w:tmpl w:val="A3209A5A"/>
    <w:lvl w:ilvl="0" w:tplc="32344DA4">
      <w:start w:val="4"/>
      <w:numFmt w:val="bullet"/>
      <w:lvlText w:val="-"/>
      <w:lvlJc w:val="left"/>
      <w:pPr>
        <w:ind w:left="720" w:hanging="360"/>
      </w:pPr>
      <w:rPr>
        <w:rFonts w:ascii="Verdana" w:eastAsia="Times New Roman" w:hAnsi="Verdana"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65B5135"/>
    <w:multiLevelType w:val="hybridMultilevel"/>
    <w:tmpl w:val="5FD61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7EF6FCF"/>
    <w:multiLevelType w:val="hybridMultilevel"/>
    <w:tmpl w:val="5E0C5B9E"/>
    <w:lvl w:ilvl="0" w:tplc="4FB648B4">
      <w:start w:val="1"/>
      <w:numFmt w:val="decimal"/>
      <w:lvlText w:val="%1."/>
      <w:lvlJc w:val="left"/>
      <w:pPr>
        <w:ind w:left="360" w:hanging="360"/>
      </w:pPr>
      <w:rPr>
        <w:b/>
      </w:rPr>
    </w:lvl>
    <w:lvl w:ilvl="1" w:tplc="040C000B">
      <w:start w:val="1"/>
      <w:numFmt w:val="bullet"/>
      <w:lvlText w:val=""/>
      <w:lvlJc w:val="left"/>
      <w:pPr>
        <w:ind w:left="1080" w:hanging="360"/>
      </w:pPr>
      <w:rPr>
        <w:rFonts w:ascii="Wingdings" w:hAnsi="Wingding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nsid w:val="504371CA"/>
    <w:multiLevelType w:val="hybridMultilevel"/>
    <w:tmpl w:val="38769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5F2755A"/>
    <w:multiLevelType w:val="hybridMultilevel"/>
    <w:tmpl w:val="90106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93E72C3"/>
    <w:multiLevelType w:val="hybridMultilevel"/>
    <w:tmpl w:val="492450BA"/>
    <w:lvl w:ilvl="0" w:tplc="4FB648B4">
      <w:start w:val="1"/>
      <w:numFmt w:val="decimal"/>
      <w:lvlText w:val="%1."/>
      <w:lvlJc w:val="left"/>
      <w:pPr>
        <w:ind w:left="360" w:hanging="360"/>
      </w:pPr>
      <w:rPr>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5D305408"/>
    <w:multiLevelType w:val="hybridMultilevel"/>
    <w:tmpl w:val="FD3A3542"/>
    <w:lvl w:ilvl="0" w:tplc="04090001">
      <w:start w:val="1"/>
      <w:numFmt w:val="bullet"/>
      <w:lvlText w:val=""/>
      <w:lvlJc w:val="left"/>
      <w:pPr>
        <w:ind w:left="720" w:hanging="360"/>
      </w:pPr>
      <w:rPr>
        <w:rFonts w:ascii="Symbol" w:hAnsi="Symbol" w:hint="default"/>
      </w:rPr>
    </w:lvl>
    <w:lvl w:ilvl="1" w:tplc="2632AA10">
      <w:start w:val="1"/>
      <w:numFmt w:val="bullet"/>
      <w:lvlText w:val="-"/>
      <w:lvlJc w:val="left"/>
      <w:pPr>
        <w:ind w:left="1440" w:hanging="360"/>
      </w:pPr>
      <w:rPr>
        <w:rFonts w:ascii="Swis721 LtCn BT" w:hAnsi="Swis721 LtCn BT" w:hint="default"/>
      </w:rPr>
    </w:lvl>
    <w:lvl w:ilvl="2" w:tplc="040C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E81BDE"/>
    <w:multiLevelType w:val="hybridMultilevel"/>
    <w:tmpl w:val="A0F2DFB0"/>
    <w:lvl w:ilvl="0" w:tplc="B9BC1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00267B3"/>
    <w:multiLevelType w:val="hybridMultilevel"/>
    <w:tmpl w:val="9C28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475C00"/>
    <w:multiLevelType w:val="hybridMultilevel"/>
    <w:tmpl w:val="3A3C6198"/>
    <w:lvl w:ilvl="0" w:tplc="20083A48">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nsid w:val="62ED5EE9"/>
    <w:multiLevelType w:val="hybridMultilevel"/>
    <w:tmpl w:val="DB4C7B16"/>
    <w:lvl w:ilvl="0" w:tplc="B9BC1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3E33C7A"/>
    <w:multiLevelType w:val="hybridMultilevel"/>
    <w:tmpl w:val="C2468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FB82F5C"/>
    <w:multiLevelType w:val="hybridMultilevel"/>
    <w:tmpl w:val="FF24D5D8"/>
    <w:lvl w:ilvl="0" w:tplc="73AAA916">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40001BC"/>
    <w:multiLevelType w:val="hybridMultilevel"/>
    <w:tmpl w:val="51EC3F4C"/>
    <w:lvl w:ilvl="0" w:tplc="2DCC72A0">
      <w:start w:val="1991"/>
      <w:numFmt w:val="bullet"/>
      <w:lvlText w:val="-"/>
      <w:lvlJc w:val="left"/>
      <w:pPr>
        <w:ind w:left="227" w:hanging="360"/>
      </w:pPr>
      <w:rPr>
        <w:rFonts w:ascii="Angsana New" w:eastAsia="MS Mincho" w:hAnsi="Angsana New" w:cs="Angsana New" w:hint="default"/>
      </w:rPr>
    </w:lvl>
    <w:lvl w:ilvl="1" w:tplc="040C0003" w:tentative="1">
      <w:start w:val="1"/>
      <w:numFmt w:val="bullet"/>
      <w:lvlText w:val="o"/>
      <w:lvlJc w:val="left"/>
      <w:pPr>
        <w:ind w:left="947" w:hanging="360"/>
      </w:pPr>
      <w:rPr>
        <w:rFonts w:ascii="Courier New" w:hAnsi="Courier New" w:cs="Courier New" w:hint="default"/>
      </w:rPr>
    </w:lvl>
    <w:lvl w:ilvl="2" w:tplc="040C0005" w:tentative="1">
      <w:start w:val="1"/>
      <w:numFmt w:val="bullet"/>
      <w:lvlText w:val=""/>
      <w:lvlJc w:val="left"/>
      <w:pPr>
        <w:ind w:left="1667" w:hanging="360"/>
      </w:pPr>
      <w:rPr>
        <w:rFonts w:ascii="Wingdings" w:hAnsi="Wingdings" w:hint="default"/>
      </w:rPr>
    </w:lvl>
    <w:lvl w:ilvl="3" w:tplc="040C0001" w:tentative="1">
      <w:start w:val="1"/>
      <w:numFmt w:val="bullet"/>
      <w:lvlText w:val=""/>
      <w:lvlJc w:val="left"/>
      <w:pPr>
        <w:ind w:left="2387" w:hanging="360"/>
      </w:pPr>
      <w:rPr>
        <w:rFonts w:ascii="Symbol" w:hAnsi="Symbol" w:hint="default"/>
      </w:rPr>
    </w:lvl>
    <w:lvl w:ilvl="4" w:tplc="040C0003" w:tentative="1">
      <w:start w:val="1"/>
      <w:numFmt w:val="bullet"/>
      <w:lvlText w:val="o"/>
      <w:lvlJc w:val="left"/>
      <w:pPr>
        <w:ind w:left="3107" w:hanging="360"/>
      </w:pPr>
      <w:rPr>
        <w:rFonts w:ascii="Courier New" w:hAnsi="Courier New" w:cs="Courier New" w:hint="default"/>
      </w:rPr>
    </w:lvl>
    <w:lvl w:ilvl="5" w:tplc="040C0005" w:tentative="1">
      <w:start w:val="1"/>
      <w:numFmt w:val="bullet"/>
      <w:lvlText w:val=""/>
      <w:lvlJc w:val="left"/>
      <w:pPr>
        <w:ind w:left="3827" w:hanging="360"/>
      </w:pPr>
      <w:rPr>
        <w:rFonts w:ascii="Wingdings" w:hAnsi="Wingdings" w:hint="default"/>
      </w:rPr>
    </w:lvl>
    <w:lvl w:ilvl="6" w:tplc="040C0001" w:tentative="1">
      <w:start w:val="1"/>
      <w:numFmt w:val="bullet"/>
      <w:lvlText w:val=""/>
      <w:lvlJc w:val="left"/>
      <w:pPr>
        <w:ind w:left="4547" w:hanging="360"/>
      </w:pPr>
      <w:rPr>
        <w:rFonts w:ascii="Symbol" w:hAnsi="Symbol" w:hint="default"/>
      </w:rPr>
    </w:lvl>
    <w:lvl w:ilvl="7" w:tplc="040C0003" w:tentative="1">
      <w:start w:val="1"/>
      <w:numFmt w:val="bullet"/>
      <w:lvlText w:val="o"/>
      <w:lvlJc w:val="left"/>
      <w:pPr>
        <w:ind w:left="5267" w:hanging="360"/>
      </w:pPr>
      <w:rPr>
        <w:rFonts w:ascii="Courier New" w:hAnsi="Courier New" w:cs="Courier New" w:hint="default"/>
      </w:rPr>
    </w:lvl>
    <w:lvl w:ilvl="8" w:tplc="040C0005" w:tentative="1">
      <w:start w:val="1"/>
      <w:numFmt w:val="bullet"/>
      <w:lvlText w:val=""/>
      <w:lvlJc w:val="left"/>
      <w:pPr>
        <w:ind w:left="5987" w:hanging="360"/>
      </w:pPr>
      <w:rPr>
        <w:rFonts w:ascii="Wingdings" w:hAnsi="Wingdings" w:hint="default"/>
      </w:rPr>
    </w:lvl>
  </w:abstractNum>
  <w:abstractNum w:abstractNumId="44">
    <w:nsid w:val="7FFA703E"/>
    <w:multiLevelType w:val="hybridMultilevel"/>
    <w:tmpl w:val="77626372"/>
    <w:lvl w:ilvl="0" w:tplc="040C000B">
      <w:start w:val="1"/>
      <w:numFmt w:val="bullet"/>
      <w:lvlText w:val=""/>
      <w:lvlJc w:val="left"/>
      <w:pPr>
        <w:ind w:left="360" w:hanging="360"/>
      </w:pPr>
      <w:rPr>
        <w:rFonts w:ascii="Wingdings" w:hAnsi="Wingdings" w:hint="default"/>
        <w:b/>
      </w:rPr>
    </w:lvl>
    <w:lvl w:ilvl="1" w:tplc="040C000B">
      <w:start w:val="1"/>
      <w:numFmt w:val="bullet"/>
      <w:lvlText w:val=""/>
      <w:lvlJc w:val="left"/>
      <w:pPr>
        <w:ind w:left="1080" w:hanging="360"/>
      </w:pPr>
      <w:rPr>
        <w:rFonts w:ascii="Wingdings" w:hAnsi="Wingding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9"/>
  </w:num>
  <w:num w:numId="2">
    <w:abstractNumId w:val="1"/>
  </w:num>
  <w:num w:numId="3">
    <w:abstractNumId w:val="42"/>
  </w:num>
  <w:num w:numId="4">
    <w:abstractNumId w:val="0"/>
  </w:num>
  <w:num w:numId="5">
    <w:abstractNumId w:val="12"/>
  </w:num>
  <w:num w:numId="6">
    <w:abstractNumId w:val="28"/>
  </w:num>
  <w:num w:numId="7">
    <w:abstractNumId w:val="24"/>
  </w:num>
  <w:num w:numId="8">
    <w:abstractNumId w:val="39"/>
  </w:num>
  <w:num w:numId="9">
    <w:abstractNumId w:val="4"/>
  </w:num>
  <w:num w:numId="10">
    <w:abstractNumId w:val="18"/>
  </w:num>
  <w:num w:numId="11">
    <w:abstractNumId w:val="19"/>
  </w:num>
  <w:num w:numId="12">
    <w:abstractNumId w:val="17"/>
  </w:num>
  <w:num w:numId="13">
    <w:abstractNumId w:val="35"/>
  </w:num>
  <w:num w:numId="14">
    <w:abstractNumId w:val="11"/>
  </w:num>
  <w:num w:numId="15">
    <w:abstractNumId w:val="22"/>
  </w:num>
  <w:num w:numId="16">
    <w:abstractNumId w:val="30"/>
  </w:num>
  <w:num w:numId="17">
    <w:abstractNumId w:val="10"/>
  </w:num>
  <w:num w:numId="18">
    <w:abstractNumId w:val="16"/>
  </w:num>
  <w:num w:numId="19">
    <w:abstractNumId w:val="6"/>
  </w:num>
  <w:num w:numId="20">
    <w:abstractNumId w:val="41"/>
  </w:num>
  <w:num w:numId="21">
    <w:abstractNumId w:val="37"/>
  </w:num>
  <w:num w:numId="22">
    <w:abstractNumId w:val="8"/>
  </w:num>
  <w:num w:numId="23">
    <w:abstractNumId w:val="7"/>
  </w:num>
  <w:num w:numId="24">
    <w:abstractNumId w:val="34"/>
  </w:num>
  <w:num w:numId="25">
    <w:abstractNumId w:val="40"/>
  </w:num>
  <w:num w:numId="26">
    <w:abstractNumId w:val="27"/>
  </w:num>
  <w:num w:numId="27">
    <w:abstractNumId w:val="2"/>
  </w:num>
  <w:num w:numId="28">
    <w:abstractNumId w:val="13"/>
  </w:num>
  <w:num w:numId="29">
    <w:abstractNumId w:val="32"/>
  </w:num>
  <w:num w:numId="30">
    <w:abstractNumId w:val="44"/>
  </w:num>
  <w:num w:numId="31">
    <w:abstractNumId w:val="14"/>
  </w:num>
  <w:num w:numId="32">
    <w:abstractNumId w:val="25"/>
  </w:num>
  <w:num w:numId="33">
    <w:abstractNumId w:val="3"/>
  </w:num>
  <w:num w:numId="34">
    <w:abstractNumId w:val="43"/>
  </w:num>
  <w:num w:numId="35">
    <w:abstractNumId w:val="38"/>
  </w:num>
  <w:num w:numId="36">
    <w:abstractNumId w:val="26"/>
  </w:num>
  <w:num w:numId="37">
    <w:abstractNumId w:val="36"/>
  </w:num>
  <w:num w:numId="38">
    <w:abstractNumId w:val="23"/>
  </w:num>
  <w:num w:numId="39">
    <w:abstractNumId w:val="15"/>
  </w:num>
  <w:num w:numId="40">
    <w:abstractNumId w:val="29"/>
  </w:num>
  <w:num w:numId="41">
    <w:abstractNumId w:val="20"/>
  </w:num>
  <w:num w:numId="42">
    <w:abstractNumId w:val="31"/>
  </w:num>
  <w:num w:numId="43">
    <w:abstractNumId w:val="21"/>
  </w:num>
  <w:num w:numId="44">
    <w:abstractNumId w:val="5"/>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2A"/>
    <w:rsid w:val="000018BE"/>
    <w:rsid w:val="00021F32"/>
    <w:rsid w:val="00074C6A"/>
    <w:rsid w:val="000938C7"/>
    <w:rsid w:val="000C6B2C"/>
    <w:rsid w:val="000D4B02"/>
    <w:rsid w:val="00114B15"/>
    <w:rsid w:val="00140634"/>
    <w:rsid w:val="00161489"/>
    <w:rsid w:val="00183232"/>
    <w:rsid w:val="001A0251"/>
    <w:rsid w:val="001A1E34"/>
    <w:rsid w:val="001B3A43"/>
    <w:rsid w:val="001E35C1"/>
    <w:rsid w:val="001E3958"/>
    <w:rsid w:val="002062BF"/>
    <w:rsid w:val="00232891"/>
    <w:rsid w:val="002A5503"/>
    <w:rsid w:val="002B6B18"/>
    <w:rsid w:val="002D69E2"/>
    <w:rsid w:val="002D741A"/>
    <w:rsid w:val="0030579C"/>
    <w:rsid w:val="00324329"/>
    <w:rsid w:val="003304D5"/>
    <w:rsid w:val="00346CC3"/>
    <w:rsid w:val="003A3FE3"/>
    <w:rsid w:val="003B06BA"/>
    <w:rsid w:val="003B6FB2"/>
    <w:rsid w:val="003C4FFD"/>
    <w:rsid w:val="003D1D56"/>
    <w:rsid w:val="003D4113"/>
    <w:rsid w:val="00412FA5"/>
    <w:rsid w:val="00433EE4"/>
    <w:rsid w:val="0048648F"/>
    <w:rsid w:val="004B0200"/>
    <w:rsid w:val="004B3CDE"/>
    <w:rsid w:val="004D4CA5"/>
    <w:rsid w:val="004E3512"/>
    <w:rsid w:val="004F0400"/>
    <w:rsid w:val="00524727"/>
    <w:rsid w:val="0053553A"/>
    <w:rsid w:val="00562102"/>
    <w:rsid w:val="00574B76"/>
    <w:rsid w:val="0058342A"/>
    <w:rsid w:val="00591397"/>
    <w:rsid w:val="00595343"/>
    <w:rsid w:val="00661262"/>
    <w:rsid w:val="00693097"/>
    <w:rsid w:val="006D194A"/>
    <w:rsid w:val="00701781"/>
    <w:rsid w:val="007053A1"/>
    <w:rsid w:val="007173EE"/>
    <w:rsid w:val="00722D00"/>
    <w:rsid w:val="007300C9"/>
    <w:rsid w:val="00734E87"/>
    <w:rsid w:val="00736151"/>
    <w:rsid w:val="00753030"/>
    <w:rsid w:val="00753F3E"/>
    <w:rsid w:val="00763A53"/>
    <w:rsid w:val="007B7BBC"/>
    <w:rsid w:val="00803197"/>
    <w:rsid w:val="00822894"/>
    <w:rsid w:val="00833AE0"/>
    <w:rsid w:val="00846F7A"/>
    <w:rsid w:val="00860934"/>
    <w:rsid w:val="008A6A00"/>
    <w:rsid w:val="008C78B1"/>
    <w:rsid w:val="008F06DC"/>
    <w:rsid w:val="008F661E"/>
    <w:rsid w:val="00964F7D"/>
    <w:rsid w:val="00987049"/>
    <w:rsid w:val="0099708F"/>
    <w:rsid w:val="009A3F21"/>
    <w:rsid w:val="009B747D"/>
    <w:rsid w:val="009D52A2"/>
    <w:rsid w:val="009D567A"/>
    <w:rsid w:val="00A36F13"/>
    <w:rsid w:val="00A45FC7"/>
    <w:rsid w:val="00A644B1"/>
    <w:rsid w:val="00A903D1"/>
    <w:rsid w:val="00A93487"/>
    <w:rsid w:val="00A96422"/>
    <w:rsid w:val="00AD7A8A"/>
    <w:rsid w:val="00AE6B4D"/>
    <w:rsid w:val="00B073CF"/>
    <w:rsid w:val="00B2751D"/>
    <w:rsid w:val="00B30ED3"/>
    <w:rsid w:val="00B34A7B"/>
    <w:rsid w:val="00B47BCD"/>
    <w:rsid w:val="00B941B4"/>
    <w:rsid w:val="00BA4E4B"/>
    <w:rsid w:val="00BC1AE3"/>
    <w:rsid w:val="00BC1EB4"/>
    <w:rsid w:val="00BD142F"/>
    <w:rsid w:val="00BD3475"/>
    <w:rsid w:val="00BF6324"/>
    <w:rsid w:val="00C20C2C"/>
    <w:rsid w:val="00C25405"/>
    <w:rsid w:val="00C65F39"/>
    <w:rsid w:val="00C66BB7"/>
    <w:rsid w:val="00C713CB"/>
    <w:rsid w:val="00C80CB4"/>
    <w:rsid w:val="00C83744"/>
    <w:rsid w:val="00C95A3E"/>
    <w:rsid w:val="00CD610B"/>
    <w:rsid w:val="00CE0B01"/>
    <w:rsid w:val="00D04D87"/>
    <w:rsid w:val="00D15851"/>
    <w:rsid w:val="00D7357F"/>
    <w:rsid w:val="00D81991"/>
    <w:rsid w:val="00D82B64"/>
    <w:rsid w:val="00DB5841"/>
    <w:rsid w:val="00DE2C3F"/>
    <w:rsid w:val="00E10E1B"/>
    <w:rsid w:val="00E2559B"/>
    <w:rsid w:val="00E27154"/>
    <w:rsid w:val="00E43B15"/>
    <w:rsid w:val="00E64FE8"/>
    <w:rsid w:val="00E66849"/>
    <w:rsid w:val="00E72786"/>
    <w:rsid w:val="00E951D1"/>
    <w:rsid w:val="00EB47ED"/>
    <w:rsid w:val="00EB638E"/>
    <w:rsid w:val="00EC15FC"/>
    <w:rsid w:val="00EC4F55"/>
    <w:rsid w:val="00EC7041"/>
    <w:rsid w:val="00EE79C4"/>
    <w:rsid w:val="00EF03D0"/>
    <w:rsid w:val="00EF2910"/>
    <w:rsid w:val="00F23943"/>
    <w:rsid w:val="00F3392A"/>
    <w:rsid w:val="00F5194E"/>
    <w:rsid w:val="00F65888"/>
    <w:rsid w:val="00F74A0C"/>
    <w:rsid w:val="00F955ED"/>
    <w:rsid w:val="00FC5401"/>
    <w:rsid w:val="00FE2FEF"/>
    <w:rsid w:val="00FF5A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8E65"/>
  <w15:chartTrackingRefBased/>
  <w15:docId w15:val="{491D65A9-91C6-4499-B629-2C59681F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C2C"/>
    <w:pPr>
      <w:spacing w:after="0" w:line="240" w:lineRule="auto"/>
      <w:jc w:val="both"/>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8342A"/>
    <w:pPr>
      <w:keepNext/>
      <w:keepLines/>
      <w:spacing w:before="240" w:after="240"/>
      <w:jc w:val="center"/>
      <w:outlineLvl w:val="0"/>
    </w:pPr>
    <w:rPr>
      <w:rFonts w:ascii="Univers Condensed" w:hAnsi="Univers Condensed"/>
      <w:b/>
      <w:sz w:val="36"/>
      <w:szCs w:val="36"/>
      <w:lang w:eastAsia="en-US"/>
    </w:rPr>
  </w:style>
  <w:style w:type="paragraph" w:styleId="Titre3">
    <w:name w:val="heading 3"/>
    <w:basedOn w:val="Normal"/>
    <w:next w:val="Normal"/>
    <w:link w:val="Titre3Car"/>
    <w:uiPriority w:val="9"/>
    <w:unhideWhenUsed/>
    <w:qFormat/>
    <w:rsid w:val="002062BF"/>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8342A"/>
    <w:rPr>
      <w:rFonts w:ascii="Univers Condensed" w:eastAsia="Times New Roman" w:hAnsi="Univers Condensed" w:cs="Times New Roman"/>
      <w:b/>
      <w:sz w:val="36"/>
      <w:szCs w:val="36"/>
    </w:rPr>
  </w:style>
  <w:style w:type="paragraph" w:styleId="Paragraphedeliste">
    <w:name w:val="List Paragraph"/>
    <w:aliases w:val="RM1,IRD Bullet List,References,Titre1,Numbered List Paragraph,ReferencesCxSpLast,List Bullet Mary,List Paragraph (numbered (a)),Liste 1,Dot pt,No Spacing1,List Paragraph Char Char Char,Indicator Text,List Paragraph1,Bullets,l,Premier"/>
    <w:basedOn w:val="Normal"/>
    <w:link w:val="ParagraphedelisteCar"/>
    <w:uiPriority w:val="34"/>
    <w:qFormat/>
    <w:rsid w:val="0058342A"/>
    <w:pPr>
      <w:ind w:left="720"/>
      <w:contextualSpacing/>
      <w:jc w:val="left"/>
    </w:pPr>
  </w:style>
  <w:style w:type="character" w:customStyle="1" w:styleId="ParagraphedelisteCar">
    <w:name w:val="Paragraphe de liste Car"/>
    <w:aliases w:val="RM1 Car,IRD Bullet List Car,References Car,Titre1 Car,Numbered List Paragraph Car,ReferencesCxSpLast Car,List Bullet Mary Car,List Paragraph (numbered (a)) Car,Liste 1 Car,Dot pt Car,No Spacing1 Car,Indicator Text Car,Bullets Car"/>
    <w:link w:val="Paragraphedeliste"/>
    <w:uiPriority w:val="34"/>
    <w:qFormat/>
    <w:rsid w:val="00412FA5"/>
    <w:rPr>
      <w:rFonts w:ascii="Times New Roman" w:eastAsia="Times New Roman" w:hAnsi="Times New Roman" w:cs="Times New Roman"/>
      <w:sz w:val="24"/>
      <w:szCs w:val="24"/>
      <w:lang w:eastAsia="fr-FR"/>
    </w:rPr>
  </w:style>
  <w:style w:type="paragraph" w:styleId="Notedebasdepage">
    <w:name w:val="footnote text"/>
    <w:aliases w:val="single space,footnote text,fn,FOOTNOTES,ft,f,Char,Footnote Text Char1,Footnote Text Char2 Char,Footnote Text Char1 Char Char,Footnote Text Char2 Char Char Char,Footnote Text Char1 Char Char Char Char,DSE note,Footnote Text Char Char"/>
    <w:basedOn w:val="Normal"/>
    <w:link w:val="NotedebasdepageCar"/>
    <w:uiPriority w:val="99"/>
    <w:unhideWhenUsed/>
    <w:qFormat/>
    <w:rsid w:val="00412FA5"/>
    <w:rPr>
      <w:rFonts w:eastAsiaTheme="minorHAnsi" w:cstheme="minorBidi"/>
      <w:szCs w:val="20"/>
      <w:lang w:val="en-US" w:eastAsia="en-US"/>
    </w:rPr>
  </w:style>
  <w:style w:type="character" w:customStyle="1" w:styleId="NotedebasdepageCar">
    <w:name w:val="Note de bas de page Car"/>
    <w:aliases w:val="single space Car,footnote text Car,fn Car,FOOTNOTES Car,ft Car,f Car,Char Car,Footnote Text Char1 Car,Footnote Text Char2 Char Car,Footnote Text Char1 Char Char Car,Footnote Text Char2 Char Char Char Car,DSE note Car"/>
    <w:basedOn w:val="Policepardfaut"/>
    <w:link w:val="Notedebasdepage"/>
    <w:uiPriority w:val="99"/>
    <w:rsid w:val="00412FA5"/>
    <w:rPr>
      <w:rFonts w:ascii="Times New Roman" w:hAnsi="Times New Roman"/>
      <w:sz w:val="20"/>
      <w:szCs w:val="20"/>
      <w:lang w:val="en-US"/>
    </w:rPr>
  </w:style>
  <w:style w:type="character" w:styleId="Appelnotedebasdep">
    <w:name w:val="footnote reference"/>
    <w:aliases w:val="ftref,16 Point,Superscript 6 Point,Footnote,BVI fnr,Normal + Font:9 Point,Superscript 3 Point Times,Footnote Reference Number,Ref,de nota al pie,note bp,Car Car Char Car Char Car Car Char Car Char Char,16 Point Char Char,fr,SUPER"/>
    <w:basedOn w:val="Policepardfaut"/>
    <w:link w:val="16PointChar"/>
    <w:uiPriority w:val="99"/>
    <w:unhideWhenUsed/>
    <w:qFormat/>
    <w:rsid w:val="00412FA5"/>
    <w:rPr>
      <w:vertAlign w:val="superscript"/>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12FA5"/>
    <w:pPr>
      <w:spacing w:after="160" w:line="240" w:lineRule="exact"/>
      <w:jc w:val="left"/>
    </w:pPr>
    <w:rPr>
      <w:rFonts w:asciiTheme="minorHAnsi" w:eastAsiaTheme="minorHAnsi" w:hAnsiTheme="minorHAnsi" w:cstheme="minorBidi"/>
      <w:sz w:val="22"/>
      <w:szCs w:val="22"/>
      <w:vertAlign w:val="superscript"/>
      <w:lang w:eastAsia="en-US"/>
    </w:rPr>
  </w:style>
  <w:style w:type="paragraph" w:styleId="En-tte">
    <w:name w:val="header"/>
    <w:basedOn w:val="Normal"/>
    <w:link w:val="En-tteCar"/>
    <w:uiPriority w:val="99"/>
    <w:unhideWhenUsed/>
    <w:rsid w:val="00F65888"/>
    <w:pPr>
      <w:tabs>
        <w:tab w:val="center" w:pos="4536"/>
        <w:tab w:val="right" w:pos="9072"/>
      </w:tabs>
    </w:pPr>
  </w:style>
  <w:style w:type="character" w:customStyle="1" w:styleId="En-tteCar">
    <w:name w:val="En-tête Car"/>
    <w:basedOn w:val="Policepardfaut"/>
    <w:link w:val="En-tte"/>
    <w:uiPriority w:val="99"/>
    <w:rsid w:val="00F65888"/>
    <w:rPr>
      <w:rFonts w:ascii="Arial" w:eastAsia="Times New Roman" w:hAnsi="Arial" w:cs="Times New Roman"/>
      <w:sz w:val="20"/>
      <w:szCs w:val="24"/>
      <w:lang w:eastAsia="fr-FR"/>
    </w:rPr>
  </w:style>
  <w:style w:type="paragraph" w:styleId="Pieddepage">
    <w:name w:val="footer"/>
    <w:basedOn w:val="Normal"/>
    <w:link w:val="PieddepageCar"/>
    <w:uiPriority w:val="99"/>
    <w:unhideWhenUsed/>
    <w:rsid w:val="00F65888"/>
    <w:pPr>
      <w:tabs>
        <w:tab w:val="center" w:pos="4536"/>
        <w:tab w:val="right" w:pos="9072"/>
      </w:tabs>
    </w:pPr>
  </w:style>
  <w:style w:type="character" w:customStyle="1" w:styleId="PieddepageCar">
    <w:name w:val="Pied de page Car"/>
    <w:basedOn w:val="Policepardfaut"/>
    <w:link w:val="Pieddepage"/>
    <w:uiPriority w:val="99"/>
    <w:rsid w:val="00F65888"/>
    <w:rPr>
      <w:rFonts w:ascii="Arial" w:eastAsia="Times New Roman" w:hAnsi="Arial" w:cs="Times New Roman"/>
      <w:sz w:val="20"/>
      <w:szCs w:val="24"/>
      <w:lang w:eastAsia="fr-FR"/>
    </w:rPr>
  </w:style>
  <w:style w:type="paragraph" w:customStyle="1" w:styleId="Titre1TDRAMO">
    <w:name w:val="Titre 1 TDR AMO"/>
    <w:basedOn w:val="Normal"/>
    <w:rsid w:val="00B2751D"/>
    <w:pPr>
      <w:numPr>
        <w:numId w:val="15"/>
      </w:numPr>
      <w:autoSpaceDE w:val="0"/>
      <w:autoSpaceDN w:val="0"/>
      <w:adjustRightInd w:val="0"/>
      <w:spacing w:before="360" w:after="360"/>
      <w:contextualSpacing/>
    </w:pPr>
    <w:rPr>
      <w:b/>
      <w:szCs w:val="20"/>
    </w:rPr>
  </w:style>
  <w:style w:type="character" w:styleId="Marquedecommentaire">
    <w:name w:val="annotation reference"/>
    <w:basedOn w:val="Policepardfaut"/>
    <w:uiPriority w:val="99"/>
    <w:semiHidden/>
    <w:unhideWhenUsed/>
    <w:rsid w:val="009D567A"/>
    <w:rPr>
      <w:sz w:val="16"/>
      <w:szCs w:val="16"/>
    </w:rPr>
  </w:style>
  <w:style w:type="paragraph" w:styleId="Commentaire">
    <w:name w:val="annotation text"/>
    <w:basedOn w:val="Normal"/>
    <w:link w:val="CommentaireCar"/>
    <w:uiPriority w:val="99"/>
    <w:semiHidden/>
    <w:unhideWhenUsed/>
    <w:rsid w:val="009D567A"/>
    <w:rPr>
      <w:szCs w:val="20"/>
    </w:rPr>
  </w:style>
  <w:style w:type="character" w:customStyle="1" w:styleId="CommentaireCar">
    <w:name w:val="Commentaire Car"/>
    <w:basedOn w:val="Policepardfaut"/>
    <w:link w:val="Commentaire"/>
    <w:uiPriority w:val="99"/>
    <w:semiHidden/>
    <w:rsid w:val="009D567A"/>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D567A"/>
    <w:rPr>
      <w:b/>
      <w:bCs/>
    </w:rPr>
  </w:style>
  <w:style w:type="character" w:customStyle="1" w:styleId="ObjetducommentaireCar">
    <w:name w:val="Objet du commentaire Car"/>
    <w:basedOn w:val="CommentaireCar"/>
    <w:link w:val="Objetducommentaire"/>
    <w:uiPriority w:val="99"/>
    <w:semiHidden/>
    <w:rsid w:val="009D567A"/>
    <w:rPr>
      <w:rFonts w:ascii="Arial" w:eastAsia="Times New Roman" w:hAnsi="Arial" w:cs="Times New Roman"/>
      <w:b/>
      <w:bCs/>
      <w:sz w:val="20"/>
      <w:szCs w:val="20"/>
      <w:lang w:eastAsia="fr-FR"/>
    </w:rPr>
  </w:style>
  <w:style w:type="paragraph" w:styleId="Textedebulles">
    <w:name w:val="Balloon Text"/>
    <w:basedOn w:val="Normal"/>
    <w:link w:val="TextedebullesCar"/>
    <w:uiPriority w:val="99"/>
    <w:semiHidden/>
    <w:unhideWhenUsed/>
    <w:rsid w:val="009D567A"/>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567A"/>
    <w:rPr>
      <w:rFonts w:ascii="Segoe UI" w:eastAsia="Times New Roman" w:hAnsi="Segoe UI" w:cs="Segoe UI"/>
      <w:sz w:val="18"/>
      <w:szCs w:val="18"/>
      <w:lang w:eastAsia="fr-FR"/>
    </w:rPr>
  </w:style>
  <w:style w:type="paragraph" w:styleId="Corpsdetexte3">
    <w:name w:val="Body Text 3"/>
    <w:basedOn w:val="Normal"/>
    <w:link w:val="Corpsdetexte3Car"/>
    <w:uiPriority w:val="99"/>
    <w:semiHidden/>
    <w:unhideWhenUsed/>
    <w:rsid w:val="00A93487"/>
    <w:pPr>
      <w:spacing w:after="120" w:line="276" w:lineRule="auto"/>
    </w:pPr>
    <w:rPr>
      <w:rFonts w:eastAsiaTheme="minorHAnsi" w:cstheme="minorBidi"/>
      <w:sz w:val="16"/>
      <w:szCs w:val="16"/>
      <w:lang w:val="en-US" w:eastAsia="en-US"/>
    </w:rPr>
  </w:style>
  <w:style w:type="character" w:customStyle="1" w:styleId="Corpsdetexte3Car">
    <w:name w:val="Corps de texte 3 Car"/>
    <w:basedOn w:val="Policepardfaut"/>
    <w:link w:val="Corpsdetexte3"/>
    <w:uiPriority w:val="99"/>
    <w:semiHidden/>
    <w:rsid w:val="00A93487"/>
    <w:rPr>
      <w:rFonts w:ascii="Times New Roman" w:hAnsi="Times New Roman"/>
      <w:sz w:val="16"/>
      <w:szCs w:val="16"/>
      <w:lang w:val="en-US"/>
    </w:rPr>
  </w:style>
  <w:style w:type="table" w:styleId="Grilledutableau">
    <w:name w:val="Table Grid"/>
    <w:basedOn w:val="TableauNormal"/>
    <w:uiPriority w:val="39"/>
    <w:rsid w:val="0082289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uiPriority w:val="99"/>
    <w:rsid w:val="00EC15FC"/>
    <w:rPr>
      <w:color w:val="0000FF"/>
      <w:u w:val="single"/>
    </w:rPr>
  </w:style>
  <w:style w:type="character" w:customStyle="1" w:styleId="Titre3Car">
    <w:name w:val="Titre 3 Car"/>
    <w:basedOn w:val="Policepardfaut"/>
    <w:link w:val="Titre3"/>
    <w:uiPriority w:val="9"/>
    <w:rsid w:val="002062BF"/>
    <w:rPr>
      <w:rFonts w:asciiTheme="majorHAnsi" w:eastAsiaTheme="majorEastAsia" w:hAnsiTheme="majorHAnsi" w:cstheme="majorBidi"/>
      <w:color w:val="1F4D78"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embele@parii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1864</Words>
  <Characters>10258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PARIIS -ML</dc:creator>
  <cp:keywords/>
  <dc:description/>
  <cp:lastModifiedBy>Mohamed TRAORE</cp:lastModifiedBy>
  <cp:revision>4</cp:revision>
  <cp:lastPrinted>2019-08-08T11:05:00Z</cp:lastPrinted>
  <dcterms:created xsi:type="dcterms:W3CDTF">2021-02-01T13:59:00Z</dcterms:created>
  <dcterms:modified xsi:type="dcterms:W3CDTF">2021-03-10T17:33:00Z</dcterms:modified>
</cp:coreProperties>
</file>