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6" w:type="pct"/>
        <w:jc w:val="center"/>
        <w:tblLook w:val="04A0" w:firstRow="1" w:lastRow="0" w:firstColumn="1" w:lastColumn="0" w:noHBand="0" w:noVBand="1"/>
      </w:tblPr>
      <w:tblGrid>
        <w:gridCol w:w="5678"/>
        <w:gridCol w:w="3677"/>
      </w:tblGrid>
      <w:tr w:rsidR="00D71B07" w14:paraId="69CF4ACF" w14:textId="77777777" w:rsidTr="00D71B07">
        <w:trPr>
          <w:trHeight w:val="634"/>
          <w:jc w:val="center"/>
        </w:trPr>
        <w:tc>
          <w:tcPr>
            <w:tcW w:w="3035" w:type="pct"/>
          </w:tcPr>
          <w:p w14:paraId="3B58F5C6" w14:textId="57E86E01" w:rsidR="00D71B07" w:rsidRDefault="00D71B07">
            <w:pPr>
              <w:pStyle w:val="Sansinterligne"/>
              <w:tabs>
                <w:tab w:val="left" w:pos="7818"/>
              </w:tabs>
              <w:spacing w:line="256" w:lineRule="auto"/>
              <w:rPr>
                <w:rFonts w:ascii="Book Antiqua" w:hAnsi="Book Antiqua"/>
                <w:b/>
                <w:caps/>
                <w:szCs w:val="24"/>
                <w:lang w:val="fr-FR"/>
              </w:rPr>
            </w:pPr>
            <w:bookmarkStart w:id="0" w:name="_Hlk79756305"/>
            <w:r>
              <w:rPr>
                <w:rFonts w:ascii="Book Antiqua" w:hAnsi="Book Antiqua"/>
                <w:b/>
                <w:caps/>
                <w:szCs w:val="24"/>
                <w:lang w:val="fr-FR"/>
              </w:rPr>
              <w:t>MINIST</w:t>
            </w:r>
            <w:r w:rsidR="00E76681">
              <w:rPr>
                <w:rFonts w:ascii="Book Antiqua" w:hAnsi="Book Antiqua"/>
                <w:b/>
                <w:caps/>
                <w:szCs w:val="24"/>
                <w:lang w:val="fr-FR"/>
              </w:rPr>
              <w:t>È</w:t>
            </w:r>
            <w:r>
              <w:rPr>
                <w:rFonts w:ascii="Book Antiqua" w:hAnsi="Book Antiqua"/>
                <w:b/>
                <w:caps/>
                <w:szCs w:val="24"/>
                <w:lang w:val="fr-FR"/>
              </w:rPr>
              <w:t xml:space="preserve">RE DE L’AGRICULTURE </w:t>
            </w:r>
          </w:p>
          <w:p w14:paraId="5ED9935B" w14:textId="1002FDBA" w:rsidR="00D71B07" w:rsidRDefault="00D71B07">
            <w:pPr>
              <w:pStyle w:val="Sansinterligne"/>
              <w:tabs>
                <w:tab w:val="left" w:pos="7818"/>
              </w:tabs>
              <w:spacing w:line="256" w:lineRule="auto"/>
              <w:rPr>
                <w:rFonts w:ascii="Book Antiqua" w:hAnsi="Book Antiqua"/>
                <w:b/>
                <w:caps/>
                <w:szCs w:val="24"/>
                <w:lang w:val="fr-FR"/>
              </w:rPr>
            </w:pPr>
            <w:r>
              <w:rPr>
                <w:rFonts w:ascii="Book Antiqua" w:hAnsi="Book Antiqua"/>
                <w:b/>
                <w:caps/>
                <w:szCs w:val="24"/>
                <w:lang w:val="fr-FR"/>
              </w:rPr>
              <w:t>de l’</w:t>
            </w:r>
            <w:r w:rsidR="00E76681">
              <w:rPr>
                <w:rFonts w:ascii="Book Antiqua" w:hAnsi="Book Antiqua"/>
                <w:b/>
                <w:caps/>
                <w:szCs w:val="24"/>
                <w:lang w:val="fr-FR"/>
              </w:rPr>
              <w:t>É</w:t>
            </w:r>
            <w:r>
              <w:rPr>
                <w:rFonts w:ascii="Book Antiqua" w:hAnsi="Book Antiqua"/>
                <w:b/>
                <w:caps/>
                <w:szCs w:val="24"/>
                <w:lang w:val="fr-FR"/>
              </w:rPr>
              <w:t>levage et de la p</w:t>
            </w:r>
            <w:r w:rsidR="00E76681">
              <w:rPr>
                <w:rFonts w:ascii="Book Antiqua" w:hAnsi="Book Antiqua"/>
                <w:b/>
                <w:caps/>
                <w:szCs w:val="24"/>
                <w:lang w:val="fr-FR"/>
              </w:rPr>
              <w:t>Ê</w:t>
            </w:r>
            <w:r>
              <w:rPr>
                <w:rFonts w:ascii="Book Antiqua" w:hAnsi="Book Antiqua"/>
                <w:b/>
                <w:caps/>
                <w:szCs w:val="24"/>
                <w:lang w:val="fr-FR"/>
              </w:rPr>
              <w:t xml:space="preserve">che </w:t>
            </w:r>
          </w:p>
          <w:p w14:paraId="5BF6EF83" w14:textId="77777777" w:rsidR="00D71B07" w:rsidRDefault="00D71B07">
            <w:pPr>
              <w:pStyle w:val="Sansinterligne"/>
              <w:tabs>
                <w:tab w:val="left" w:pos="7818"/>
              </w:tabs>
              <w:spacing w:line="256" w:lineRule="auto"/>
              <w:rPr>
                <w:rFonts w:ascii="Book Antiqua" w:hAnsi="Book Antiqua"/>
                <w:b/>
                <w:caps/>
                <w:szCs w:val="24"/>
                <w:lang w:val="fr-FR"/>
              </w:rPr>
            </w:pPr>
          </w:p>
          <w:p w14:paraId="2B4F4C2F" w14:textId="77777777" w:rsidR="00D71B07" w:rsidRDefault="00D71B07">
            <w:pPr>
              <w:pStyle w:val="Sansinterligne"/>
              <w:spacing w:line="256" w:lineRule="auto"/>
              <w:rPr>
                <w:rFonts w:ascii="Book Antiqua" w:hAnsi="Book Antiqua"/>
                <w:b/>
                <w:caps/>
                <w:szCs w:val="24"/>
                <w:lang w:val="fr-FR"/>
              </w:rPr>
            </w:pPr>
            <w:r>
              <w:rPr>
                <w:rFonts w:ascii="Book Antiqua" w:hAnsi="Book Antiqua"/>
                <w:b/>
                <w:szCs w:val="24"/>
                <w:lang w:val="fr-FR"/>
              </w:rPr>
              <w:t>SECRETARIAT GENERAL</w:t>
            </w:r>
            <w:r>
              <w:rPr>
                <w:rFonts w:ascii="Book Antiqua" w:hAnsi="Book Antiqua"/>
                <w:b/>
                <w:caps/>
                <w:szCs w:val="24"/>
                <w:lang w:val="fr-FR"/>
              </w:rPr>
              <w:t xml:space="preserve">                   </w:t>
            </w:r>
          </w:p>
          <w:p w14:paraId="1C2A6784" w14:textId="77777777" w:rsidR="00D71B07" w:rsidRDefault="00D71B07">
            <w:pPr>
              <w:pStyle w:val="Sansinterligne"/>
              <w:tabs>
                <w:tab w:val="left" w:pos="7818"/>
              </w:tabs>
              <w:spacing w:line="256" w:lineRule="auto"/>
              <w:rPr>
                <w:rFonts w:ascii="Book Antiqua" w:hAnsi="Book Antiqua"/>
                <w:b/>
                <w:szCs w:val="24"/>
                <w:lang w:val="fr-FR"/>
              </w:rPr>
            </w:pPr>
            <w:r>
              <w:rPr>
                <w:rFonts w:ascii="Book Antiqua" w:hAnsi="Book Antiqua"/>
                <w:b/>
                <w:caps/>
                <w:szCs w:val="24"/>
                <w:lang w:val="fr-FR"/>
              </w:rPr>
              <w:t xml:space="preserve">            -=-=--=-=-=-=-=-                                   </w:t>
            </w:r>
            <w:r>
              <w:rPr>
                <w:rFonts w:ascii="Book Antiqua" w:hAnsi="Book Antiqua"/>
                <w:b/>
                <w:szCs w:val="24"/>
                <w:lang w:val="fr-FR"/>
              </w:rPr>
              <w:t xml:space="preserve"> </w:t>
            </w:r>
          </w:p>
        </w:tc>
        <w:tc>
          <w:tcPr>
            <w:tcW w:w="1965" w:type="pct"/>
          </w:tcPr>
          <w:p w14:paraId="21D1EE86" w14:textId="5DCC7D51" w:rsidR="00D71B07" w:rsidRDefault="00D71B07">
            <w:pPr>
              <w:pStyle w:val="Sansinterligne"/>
              <w:tabs>
                <w:tab w:val="left" w:pos="7818"/>
              </w:tabs>
              <w:spacing w:line="256" w:lineRule="auto"/>
              <w:jc w:val="center"/>
              <w:rPr>
                <w:rFonts w:ascii="Book Antiqua" w:hAnsi="Book Antiqua"/>
                <w:b/>
                <w:szCs w:val="24"/>
                <w:lang w:val="fr-FR"/>
              </w:rPr>
            </w:pPr>
            <w:r>
              <w:rPr>
                <w:rFonts w:ascii="Book Antiqua" w:hAnsi="Book Antiqua"/>
                <w:b/>
                <w:caps/>
                <w:szCs w:val="24"/>
                <w:lang w:val="fr-FR"/>
              </w:rPr>
              <w:t>R</w:t>
            </w:r>
            <w:r w:rsidR="00E76681">
              <w:rPr>
                <w:rFonts w:ascii="Book Antiqua" w:hAnsi="Book Antiqua"/>
                <w:b/>
                <w:caps/>
                <w:szCs w:val="24"/>
                <w:lang w:val="fr-FR"/>
              </w:rPr>
              <w:t>É</w:t>
            </w:r>
            <w:r>
              <w:rPr>
                <w:rFonts w:ascii="Book Antiqua" w:hAnsi="Book Antiqua"/>
                <w:b/>
                <w:caps/>
                <w:szCs w:val="24"/>
                <w:lang w:val="fr-FR"/>
              </w:rPr>
              <w:t xml:space="preserve">PUBLIQUE DU MALI                                         </w:t>
            </w:r>
          </w:p>
          <w:p w14:paraId="0DB84DAB" w14:textId="77777777" w:rsidR="00D71B07" w:rsidRDefault="00D71B07">
            <w:pPr>
              <w:pStyle w:val="Sansinterligne"/>
              <w:tabs>
                <w:tab w:val="left" w:pos="7818"/>
              </w:tabs>
              <w:spacing w:line="256" w:lineRule="auto"/>
              <w:jc w:val="center"/>
              <w:rPr>
                <w:rFonts w:ascii="Book Antiqua" w:hAnsi="Book Antiqua"/>
                <w:b/>
                <w:szCs w:val="24"/>
                <w:lang w:val="fr-FR"/>
              </w:rPr>
            </w:pPr>
            <w:r>
              <w:rPr>
                <w:rFonts w:ascii="Book Antiqua" w:hAnsi="Book Antiqua"/>
                <w:b/>
                <w:szCs w:val="24"/>
                <w:lang w:val="fr-FR"/>
              </w:rPr>
              <w:t>Un peuple - un but - une foi</w:t>
            </w:r>
          </w:p>
          <w:p w14:paraId="72885B6E" w14:textId="77777777" w:rsidR="00D71B07" w:rsidRDefault="00D71B07">
            <w:pPr>
              <w:pStyle w:val="Sansinterligne"/>
              <w:tabs>
                <w:tab w:val="left" w:pos="7818"/>
              </w:tabs>
              <w:spacing w:line="256" w:lineRule="auto"/>
              <w:jc w:val="center"/>
              <w:rPr>
                <w:rFonts w:ascii="Book Antiqua" w:hAnsi="Book Antiqua"/>
                <w:b/>
                <w:caps/>
                <w:szCs w:val="24"/>
                <w:lang w:val="fr-FR"/>
              </w:rPr>
            </w:pPr>
          </w:p>
          <w:p w14:paraId="742881A5" w14:textId="77777777" w:rsidR="00D71B07" w:rsidRDefault="00D71B07">
            <w:pPr>
              <w:pStyle w:val="Sansinterligne"/>
              <w:spacing w:line="256" w:lineRule="auto"/>
              <w:jc w:val="center"/>
              <w:rPr>
                <w:rFonts w:ascii="Book Antiqua" w:hAnsi="Book Antiqua"/>
                <w:b/>
                <w:szCs w:val="24"/>
                <w:lang w:val="fr-FR"/>
              </w:rPr>
            </w:pPr>
          </w:p>
          <w:p w14:paraId="51028C5A" w14:textId="77777777" w:rsidR="00D71B07" w:rsidRDefault="00D71B07">
            <w:pPr>
              <w:pStyle w:val="Sansinterligne"/>
              <w:spacing w:line="256" w:lineRule="auto"/>
              <w:jc w:val="center"/>
              <w:rPr>
                <w:rFonts w:ascii="Book Antiqua" w:hAnsi="Book Antiqua"/>
                <w:b/>
                <w:caps/>
                <w:szCs w:val="24"/>
                <w:lang w:val="fr-FR"/>
              </w:rPr>
            </w:pPr>
            <w:r>
              <w:rPr>
                <w:rFonts w:ascii="Book Antiqua" w:hAnsi="Book Antiqua"/>
                <w:b/>
                <w:szCs w:val="24"/>
                <w:lang w:val="fr-FR"/>
              </w:rPr>
              <w:t>-=-=-=-=-=-=-=-=-</w:t>
            </w:r>
          </w:p>
        </w:tc>
      </w:tr>
      <w:tr w:rsidR="00D71B07" w14:paraId="4A30FB15" w14:textId="77777777" w:rsidTr="00D71B07">
        <w:trPr>
          <w:trHeight w:val="2827"/>
          <w:jc w:val="center"/>
        </w:trPr>
        <w:tc>
          <w:tcPr>
            <w:tcW w:w="3035" w:type="pct"/>
          </w:tcPr>
          <w:p w14:paraId="5075D98A" w14:textId="77777777" w:rsidR="00D71B07" w:rsidRDefault="00D71B07">
            <w:pPr>
              <w:pStyle w:val="Sansinterligne"/>
              <w:spacing w:line="256" w:lineRule="auto"/>
              <w:rPr>
                <w:rFonts w:ascii="Book Antiqua" w:hAnsi="Book Antiqua"/>
                <w:b/>
                <w:sz w:val="24"/>
                <w:szCs w:val="24"/>
                <w:lang w:val="fr-FR"/>
              </w:rPr>
            </w:pPr>
            <w:r>
              <w:rPr>
                <w:rFonts w:ascii="Book Antiqua" w:hAnsi="Book Antiqua"/>
                <w:b/>
                <w:sz w:val="24"/>
                <w:szCs w:val="24"/>
                <w:lang w:val="fr-FR"/>
              </w:rPr>
              <w:t>Agence d’Aménagement des Terres</w:t>
            </w:r>
          </w:p>
          <w:p w14:paraId="54276404" w14:textId="77777777" w:rsidR="00D71B07" w:rsidRDefault="00D71B07">
            <w:pPr>
              <w:pStyle w:val="Sansinterligne"/>
              <w:spacing w:line="256" w:lineRule="auto"/>
              <w:rPr>
                <w:rFonts w:ascii="Book Antiqua" w:hAnsi="Book Antiqua"/>
                <w:b/>
                <w:sz w:val="24"/>
                <w:szCs w:val="24"/>
                <w:lang w:val="fr-FR"/>
              </w:rPr>
            </w:pPr>
            <w:r>
              <w:rPr>
                <w:rFonts w:ascii="Book Antiqua" w:hAnsi="Book Antiqua"/>
                <w:b/>
                <w:sz w:val="24"/>
                <w:szCs w:val="24"/>
                <w:lang w:val="fr-FR"/>
              </w:rPr>
              <w:t>Et de Fourniture de l’Eau d’Irrigation</w:t>
            </w:r>
          </w:p>
          <w:p w14:paraId="0634C1FA" w14:textId="77777777" w:rsidR="00D71B07" w:rsidRDefault="00D71B07">
            <w:pPr>
              <w:pStyle w:val="Sansinterligne"/>
              <w:spacing w:line="256" w:lineRule="auto"/>
              <w:rPr>
                <w:rFonts w:ascii="Book Antiqua" w:hAnsi="Book Antiqua"/>
                <w:b/>
                <w:sz w:val="24"/>
                <w:szCs w:val="24"/>
                <w:lang w:val="fr-FR"/>
              </w:rPr>
            </w:pPr>
            <w:r>
              <w:rPr>
                <w:rFonts w:ascii="Book Antiqua" w:hAnsi="Book Antiqua"/>
                <w:b/>
                <w:sz w:val="24"/>
                <w:szCs w:val="24"/>
                <w:lang w:val="fr-FR"/>
              </w:rPr>
              <w:t>Tél : (+223) 20 23 02 87 /20 23 01 54</w:t>
            </w:r>
          </w:p>
          <w:p w14:paraId="3102431A" w14:textId="13BF8A3D" w:rsidR="00D71B07" w:rsidRDefault="00D71B07">
            <w:pPr>
              <w:pStyle w:val="Sansinterligne"/>
              <w:tabs>
                <w:tab w:val="left" w:pos="7818"/>
              </w:tabs>
              <w:spacing w:line="256" w:lineRule="auto"/>
              <w:rPr>
                <w:rFonts w:ascii="Book Antiqua" w:hAnsi="Book Antiqua"/>
                <w:b/>
                <w:sz w:val="24"/>
                <w:szCs w:val="24"/>
                <w:lang w:val="fr-FR"/>
              </w:rPr>
            </w:pPr>
            <w:r>
              <w:rPr>
                <w:noProof/>
                <w:lang w:val="fr-FR" w:eastAsia="fr-FR"/>
              </w:rPr>
              <w:drawing>
                <wp:anchor distT="0" distB="0" distL="114300" distR="114300" simplePos="0" relativeHeight="251658240" behindDoc="1" locked="0" layoutInCell="1" allowOverlap="1" wp14:anchorId="6D10DF71" wp14:editId="55BB768B">
                  <wp:simplePos x="0" y="0"/>
                  <wp:positionH relativeFrom="column">
                    <wp:posOffset>-635</wp:posOffset>
                  </wp:positionH>
                  <wp:positionV relativeFrom="paragraph">
                    <wp:posOffset>255905</wp:posOffset>
                  </wp:positionV>
                  <wp:extent cx="2362200" cy="800100"/>
                  <wp:effectExtent l="0" t="0" r="0" b="0"/>
                  <wp:wrapThrough wrapText="bothSides">
                    <wp:wrapPolygon edited="0">
                      <wp:start x="0" y="0"/>
                      <wp:lineTo x="0" y="21086"/>
                      <wp:lineTo x="21426" y="21086"/>
                      <wp:lineTo x="2142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b/>
                <w:sz w:val="24"/>
                <w:szCs w:val="24"/>
                <w:lang w:val="fr-FR"/>
              </w:rPr>
              <w:t>Bamako, Mali</w:t>
            </w:r>
          </w:p>
          <w:p w14:paraId="3ED50786" w14:textId="77777777" w:rsidR="00D71B07" w:rsidRDefault="00D71B07">
            <w:pPr>
              <w:pStyle w:val="Sansinterligne"/>
              <w:tabs>
                <w:tab w:val="left" w:pos="7818"/>
              </w:tabs>
              <w:spacing w:line="256" w:lineRule="auto"/>
              <w:rPr>
                <w:rFonts w:ascii="Book Antiqua" w:hAnsi="Book Antiqua"/>
                <w:b/>
                <w:caps/>
                <w:sz w:val="24"/>
                <w:szCs w:val="24"/>
                <w:lang w:val="fr-FR"/>
              </w:rPr>
            </w:pPr>
          </w:p>
          <w:p w14:paraId="0D8E79AC" w14:textId="77777777" w:rsidR="00D71B07" w:rsidRDefault="00D71B07">
            <w:pPr>
              <w:pStyle w:val="Sansinterligne"/>
              <w:tabs>
                <w:tab w:val="left" w:pos="7818"/>
              </w:tabs>
              <w:spacing w:line="256" w:lineRule="auto"/>
              <w:rPr>
                <w:rFonts w:ascii="Book Antiqua" w:hAnsi="Book Antiqua"/>
                <w:b/>
                <w:caps/>
                <w:sz w:val="24"/>
                <w:szCs w:val="24"/>
                <w:lang w:val="fr-FR"/>
              </w:rPr>
            </w:pPr>
          </w:p>
        </w:tc>
        <w:tc>
          <w:tcPr>
            <w:tcW w:w="1965" w:type="pct"/>
          </w:tcPr>
          <w:p w14:paraId="2DDE74BB" w14:textId="77777777" w:rsidR="00D71B07" w:rsidRDefault="00D71B07">
            <w:pPr>
              <w:pStyle w:val="Sansinterligne"/>
              <w:tabs>
                <w:tab w:val="left" w:pos="7818"/>
              </w:tabs>
              <w:spacing w:line="256" w:lineRule="auto"/>
              <w:rPr>
                <w:rFonts w:ascii="Book Antiqua" w:hAnsi="Book Antiqua"/>
                <w:b/>
                <w:caps/>
                <w:szCs w:val="24"/>
                <w:lang w:val="fr-FR"/>
              </w:rPr>
            </w:pPr>
          </w:p>
        </w:tc>
      </w:tr>
    </w:tbl>
    <w:bookmarkEnd w:id="0"/>
    <w:p w14:paraId="35D9FD13" w14:textId="09B60D87" w:rsidR="00363D46" w:rsidRPr="00F24C30" w:rsidRDefault="00363D46" w:rsidP="00F24C30">
      <w:pPr>
        <w:suppressAutoHyphens/>
        <w:spacing w:before="240" w:after="240"/>
        <w:jc w:val="center"/>
        <w:rPr>
          <w:b/>
          <w:noProof w:val="0"/>
          <w:spacing w:val="-2"/>
          <w:sz w:val="36"/>
          <w:szCs w:val="36"/>
        </w:rPr>
      </w:pPr>
      <w:r w:rsidRPr="00F24C30">
        <w:rPr>
          <w:b/>
          <w:noProof w:val="0"/>
          <w:spacing w:val="-2"/>
          <w:sz w:val="36"/>
          <w:szCs w:val="36"/>
        </w:rPr>
        <w:t>AVIS D</w:t>
      </w:r>
      <w:r w:rsidR="00CF7E49" w:rsidRPr="00F24C30">
        <w:rPr>
          <w:b/>
          <w:noProof w:val="0"/>
          <w:spacing w:val="-2"/>
          <w:sz w:val="36"/>
          <w:szCs w:val="36"/>
        </w:rPr>
        <w:t>E MANIFESTATIONS D’INT</w:t>
      </w:r>
      <w:r w:rsidR="00E76681" w:rsidRPr="00F24C30">
        <w:rPr>
          <w:b/>
          <w:noProof w:val="0"/>
          <w:spacing w:val="-2"/>
          <w:sz w:val="36"/>
          <w:szCs w:val="36"/>
        </w:rPr>
        <w:t>ÉRÊ</w:t>
      </w:r>
      <w:r w:rsidR="00CF7E49" w:rsidRPr="00F24C30">
        <w:rPr>
          <w:b/>
          <w:noProof w:val="0"/>
          <w:spacing w:val="-2"/>
          <w:sz w:val="36"/>
          <w:szCs w:val="36"/>
        </w:rPr>
        <w:t>T N° 0</w:t>
      </w:r>
      <w:r w:rsidR="00D71B07" w:rsidRPr="00F24C30">
        <w:rPr>
          <w:b/>
          <w:noProof w:val="0"/>
          <w:spacing w:val="-2"/>
          <w:sz w:val="36"/>
          <w:szCs w:val="36"/>
        </w:rPr>
        <w:t>8</w:t>
      </w:r>
      <w:r w:rsidRPr="00F24C30">
        <w:rPr>
          <w:b/>
          <w:noProof w:val="0"/>
          <w:spacing w:val="-2"/>
          <w:sz w:val="36"/>
          <w:szCs w:val="36"/>
        </w:rPr>
        <w:t>-20</w:t>
      </w:r>
      <w:r w:rsidR="003C1E5D" w:rsidRPr="00F24C30">
        <w:rPr>
          <w:b/>
          <w:noProof w:val="0"/>
          <w:spacing w:val="-2"/>
          <w:sz w:val="36"/>
          <w:szCs w:val="36"/>
        </w:rPr>
        <w:t>21</w:t>
      </w:r>
      <w:r w:rsidR="00CF7E49" w:rsidRPr="00F24C30">
        <w:rPr>
          <w:b/>
          <w:noProof w:val="0"/>
          <w:spacing w:val="-2"/>
          <w:sz w:val="36"/>
          <w:szCs w:val="36"/>
        </w:rPr>
        <w:t xml:space="preserve"> </w:t>
      </w:r>
      <w:r w:rsidRPr="00F24C30">
        <w:rPr>
          <w:b/>
          <w:noProof w:val="0"/>
          <w:spacing w:val="-2"/>
          <w:sz w:val="36"/>
          <w:szCs w:val="36"/>
        </w:rPr>
        <w:t>/</w:t>
      </w:r>
      <w:r w:rsidR="00CF7E49" w:rsidRPr="00F24C30">
        <w:rPr>
          <w:b/>
          <w:noProof w:val="0"/>
          <w:spacing w:val="-2"/>
          <w:sz w:val="36"/>
          <w:szCs w:val="36"/>
        </w:rPr>
        <w:t xml:space="preserve"> </w:t>
      </w:r>
      <w:r w:rsidR="00E34721" w:rsidRPr="00F24C30">
        <w:rPr>
          <w:b/>
          <w:noProof w:val="0"/>
          <w:spacing w:val="-2"/>
          <w:sz w:val="36"/>
          <w:szCs w:val="36"/>
        </w:rPr>
        <w:t>PDAZAM</w:t>
      </w:r>
    </w:p>
    <w:p w14:paraId="06CEA423" w14:textId="77777777" w:rsidR="00363D46" w:rsidRPr="008F7187" w:rsidRDefault="00363D46" w:rsidP="00363D46">
      <w:pPr>
        <w:suppressAutoHyphens/>
        <w:jc w:val="center"/>
        <w:rPr>
          <w:spacing w:val="-2"/>
          <w:szCs w:val="24"/>
        </w:rPr>
      </w:pPr>
    </w:p>
    <w:p w14:paraId="407B8B36" w14:textId="77777777" w:rsidR="00B16E49" w:rsidRPr="008F7187" w:rsidRDefault="00D5595D" w:rsidP="002C3FDD">
      <w:pPr>
        <w:spacing w:before="120" w:after="120" w:line="276" w:lineRule="auto"/>
        <w:jc w:val="both"/>
        <w:rPr>
          <w:szCs w:val="24"/>
        </w:rPr>
      </w:pPr>
      <w:r w:rsidRPr="008F7187">
        <w:rPr>
          <w:szCs w:val="24"/>
        </w:rPr>
        <w:t>PAYS :</w:t>
      </w:r>
      <w:r w:rsidR="00B16E49" w:rsidRPr="008F7187">
        <w:rPr>
          <w:szCs w:val="24"/>
        </w:rPr>
        <w:t xml:space="preserve"> République du Mali</w:t>
      </w:r>
    </w:p>
    <w:p w14:paraId="5E986ECE" w14:textId="2831A80C" w:rsidR="00B16E49" w:rsidRPr="008F7187" w:rsidRDefault="00D5595D" w:rsidP="002C3FDD">
      <w:pPr>
        <w:spacing w:before="120" w:after="120" w:line="276" w:lineRule="auto"/>
        <w:jc w:val="both"/>
        <w:rPr>
          <w:szCs w:val="24"/>
        </w:rPr>
      </w:pPr>
      <w:r w:rsidRPr="008F7187">
        <w:rPr>
          <w:szCs w:val="24"/>
        </w:rPr>
        <w:t xml:space="preserve">ORIGINE : </w:t>
      </w:r>
      <w:r w:rsidR="00B16E49" w:rsidRPr="008F7187">
        <w:rPr>
          <w:szCs w:val="24"/>
        </w:rPr>
        <w:t>Ministère de l’Agriculture</w:t>
      </w:r>
      <w:r w:rsidR="002152BA">
        <w:rPr>
          <w:szCs w:val="24"/>
        </w:rPr>
        <w:t>, de l’</w:t>
      </w:r>
      <w:r w:rsidR="00E76681">
        <w:rPr>
          <w:szCs w:val="24"/>
        </w:rPr>
        <w:t>É</w:t>
      </w:r>
      <w:r w:rsidR="002152BA">
        <w:rPr>
          <w:szCs w:val="24"/>
        </w:rPr>
        <w:t>levage et de la Pêche</w:t>
      </w:r>
    </w:p>
    <w:p w14:paraId="18DFCD06" w14:textId="62BDDEA9" w:rsidR="00B16E49" w:rsidRPr="008F7187" w:rsidRDefault="00D5595D" w:rsidP="002C3FDD">
      <w:pPr>
        <w:spacing w:before="120" w:after="120" w:line="276" w:lineRule="auto"/>
        <w:jc w:val="both"/>
        <w:rPr>
          <w:szCs w:val="24"/>
        </w:rPr>
      </w:pPr>
      <w:r w:rsidRPr="008F7187">
        <w:rPr>
          <w:szCs w:val="24"/>
        </w:rPr>
        <w:t xml:space="preserve">NOM DU PROJET : </w:t>
      </w:r>
      <w:r w:rsidR="00E34721" w:rsidRPr="008F7187">
        <w:rPr>
          <w:szCs w:val="24"/>
        </w:rPr>
        <w:t xml:space="preserve">Projet de Développement de la productivité et de la diversification Agricole dans les Zones Arides du Mali (PDAZAM)  </w:t>
      </w:r>
    </w:p>
    <w:p w14:paraId="5CC92024" w14:textId="77777777" w:rsidR="00B16E49" w:rsidRPr="008F7187" w:rsidRDefault="00D5595D" w:rsidP="002C3FDD">
      <w:pPr>
        <w:spacing w:before="120" w:after="120" w:line="276" w:lineRule="auto"/>
        <w:jc w:val="both"/>
        <w:rPr>
          <w:szCs w:val="24"/>
        </w:rPr>
      </w:pPr>
      <w:r w:rsidRPr="008F7187">
        <w:rPr>
          <w:szCs w:val="24"/>
        </w:rPr>
        <w:t xml:space="preserve">SOURCE DE FINANCEMENT : </w:t>
      </w:r>
      <w:r w:rsidR="00B16E49" w:rsidRPr="008F7187">
        <w:rPr>
          <w:szCs w:val="24"/>
        </w:rPr>
        <w:t>Banque Mondiale</w:t>
      </w:r>
    </w:p>
    <w:p w14:paraId="60475371" w14:textId="14088A16" w:rsidR="00166463" w:rsidRPr="00FB07A5" w:rsidRDefault="0029468F" w:rsidP="002C3FDD">
      <w:pPr>
        <w:spacing w:before="120" w:after="120" w:line="276" w:lineRule="auto"/>
        <w:ind w:right="74"/>
        <w:jc w:val="both"/>
        <w:rPr>
          <w:i/>
          <w:iCs/>
          <w:szCs w:val="24"/>
          <w:u w:val="single"/>
        </w:rPr>
      </w:pPr>
      <w:r>
        <w:rPr>
          <w:szCs w:val="24"/>
        </w:rPr>
        <w:t xml:space="preserve">INTITULE DES SERVICES : </w:t>
      </w:r>
      <w:r w:rsidR="00D71B07" w:rsidRPr="00D71B07">
        <w:rPr>
          <w:b/>
          <w:bCs/>
          <w:szCs w:val="24"/>
        </w:rPr>
        <w:t>Recrutement d’un consultant charg</w:t>
      </w:r>
      <w:r w:rsidR="00E76681">
        <w:rPr>
          <w:b/>
          <w:bCs/>
          <w:szCs w:val="24"/>
        </w:rPr>
        <w:t>é</w:t>
      </w:r>
      <w:r w:rsidR="00D71B07" w:rsidRPr="00D71B07">
        <w:rPr>
          <w:b/>
          <w:bCs/>
          <w:szCs w:val="24"/>
        </w:rPr>
        <w:t xml:space="preserve"> de l’étude d’impact environnementale et sociale (EIES) des travaux de construction des infrastructures de commercialisation dans la région de Mopti</w:t>
      </w:r>
      <w:r w:rsidR="00166463" w:rsidRPr="00FB07A5">
        <w:rPr>
          <w:b/>
          <w:bCs/>
          <w:szCs w:val="24"/>
        </w:rPr>
        <w:t>.</w:t>
      </w:r>
    </w:p>
    <w:p w14:paraId="5F54AF19" w14:textId="26A62A89" w:rsidR="00B16E49" w:rsidRPr="00FA32F3" w:rsidRDefault="00B16E49" w:rsidP="002C3FDD">
      <w:pPr>
        <w:spacing w:before="120" w:after="120" w:line="276" w:lineRule="auto"/>
        <w:ind w:right="72"/>
        <w:jc w:val="both"/>
        <w:rPr>
          <w:szCs w:val="24"/>
        </w:rPr>
      </w:pPr>
      <w:r w:rsidRPr="00FA32F3">
        <w:rPr>
          <w:szCs w:val="24"/>
        </w:rPr>
        <w:t>CR</w:t>
      </w:r>
      <w:r w:rsidR="00E76681" w:rsidRPr="00FA32F3">
        <w:rPr>
          <w:szCs w:val="24"/>
        </w:rPr>
        <w:t>É</w:t>
      </w:r>
      <w:r w:rsidRPr="00FA32F3">
        <w:rPr>
          <w:szCs w:val="24"/>
        </w:rPr>
        <w:t xml:space="preserve">DIT N°: </w:t>
      </w:r>
      <w:r w:rsidR="0071437A" w:rsidRPr="00FA32F3">
        <w:rPr>
          <w:szCs w:val="24"/>
        </w:rPr>
        <w:t>6</w:t>
      </w:r>
      <w:r w:rsidR="00E34721" w:rsidRPr="00FA32F3">
        <w:rPr>
          <w:szCs w:val="24"/>
        </w:rPr>
        <w:t xml:space="preserve">283 </w:t>
      </w:r>
      <w:r w:rsidRPr="00FA32F3">
        <w:rPr>
          <w:szCs w:val="24"/>
        </w:rPr>
        <w:t>ML</w:t>
      </w:r>
    </w:p>
    <w:p w14:paraId="4ECE3D61" w14:textId="566B09E0" w:rsidR="00B16E49" w:rsidRPr="00FA32F3" w:rsidRDefault="00B16E49" w:rsidP="002C3FDD">
      <w:pPr>
        <w:spacing w:before="120" w:after="120" w:line="276" w:lineRule="auto"/>
        <w:ind w:right="72"/>
        <w:jc w:val="both"/>
        <w:rPr>
          <w:szCs w:val="24"/>
        </w:rPr>
      </w:pPr>
      <w:r w:rsidRPr="00FA32F3">
        <w:rPr>
          <w:szCs w:val="24"/>
        </w:rPr>
        <w:t xml:space="preserve">DON N°: </w:t>
      </w:r>
      <w:r w:rsidR="00CD174C" w:rsidRPr="00FA32F3">
        <w:rPr>
          <w:szCs w:val="24"/>
        </w:rPr>
        <w:t>D</w:t>
      </w:r>
      <w:r w:rsidR="00E34721" w:rsidRPr="00FA32F3">
        <w:rPr>
          <w:szCs w:val="24"/>
        </w:rPr>
        <w:t xml:space="preserve">340 </w:t>
      </w:r>
      <w:r w:rsidRPr="00FA32F3">
        <w:rPr>
          <w:szCs w:val="24"/>
        </w:rPr>
        <w:t>ML</w:t>
      </w:r>
      <w:bookmarkStart w:id="1" w:name="_GoBack"/>
      <w:bookmarkEnd w:id="1"/>
    </w:p>
    <w:p w14:paraId="59159046" w14:textId="3D811923" w:rsidR="00B16E49" w:rsidRPr="008F7187" w:rsidRDefault="00B16E49" w:rsidP="002C3FDD">
      <w:pPr>
        <w:suppressAutoHyphens/>
        <w:spacing w:before="120" w:after="120" w:line="276" w:lineRule="auto"/>
        <w:jc w:val="both"/>
        <w:rPr>
          <w:color w:val="FF0000"/>
          <w:szCs w:val="24"/>
        </w:rPr>
      </w:pPr>
      <w:r w:rsidRPr="008F7187">
        <w:rPr>
          <w:szCs w:val="24"/>
        </w:rPr>
        <w:t xml:space="preserve">N° IDENTIFICATION DU PROJET : </w:t>
      </w:r>
      <w:r w:rsidR="00F41420" w:rsidRPr="008F7187">
        <w:rPr>
          <w:szCs w:val="24"/>
        </w:rPr>
        <w:t>P16</w:t>
      </w:r>
      <w:r w:rsidRPr="008F7187">
        <w:rPr>
          <w:szCs w:val="24"/>
        </w:rPr>
        <w:t>4</w:t>
      </w:r>
      <w:r w:rsidR="00F41420" w:rsidRPr="008F7187">
        <w:rPr>
          <w:szCs w:val="24"/>
        </w:rPr>
        <w:t>05</w:t>
      </w:r>
      <w:r w:rsidRPr="008F7187">
        <w:rPr>
          <w:szCs w:val="24"/>
        </w:rPr>
        <w:t>2</w:t>
      </w:r>
    </w:p>
    <w:p w14:paraId="734BFFEA" w14:textId="5272B550" w:rsidR="00BB6B03" w:rsidRPr="00D71B07" w:rsidRDefault="00363D46" w:rsidP="00F553DF">
      <w:pPr>
        <w:pStyle w:val="Paragraphedeliste"/>
        <w:numPr>
          <w:ilvl w:val="0"/>
          <w:numId w:val="14"/>
        </w:numPr>
        <w:spacing w:after="200" w:line="276" w:lineRule="auto"/>
        <w:ind w:left="0" w:hanging="357"/>
        <w:contextualSpacing w:val="0"/>
        <w:rPr>
          <w:bCs/>
        </w:rPr>
      </w:pPr>
      <w:r w:rsidRPr="00D71B07">
        <w:rPr>
          <w:bCs/>
        </w:rPr>
        <w:t xml:space="preserve">Le Gouvernement de la République du Mali a obtenu un crédit et un don de l’Association internationale de développement (IDA) d'un montant équivalant à US$ </w:t>
      </w:r>
      <w:r w:rsidR="009431AD" w:rsidRPr="00D71B07">
        <w:rPr>
          <w:bCs/>
        </w:rPr>
        <w:t>60</w:t>
      </w:r>
      <w:r w:rsidRPr="00D71B07">
        <w:rPr>
          <w:bCs/>
        </w:rPr>
        <w:t xml:space="preserve"> millions pour financer </w:t>
      </w:r>
      <w:r w:rsidR="000C20D2" w:rsidRPr="00D71B07">
        <w:rPr>
          <w:bCs/>
        </w:rPr>
        <w:t xml:space="preserve">le </w:t>
      </w:r>
      <w:r w:rsidR="009431AD" w:rsidRPr="00D71B07">
        <w:rPr>
          <w:bCs/>
        </w:rPr>
        <w:t xml:space="preserve">Projet de Développement de la </w:t>
      </w:r>
      <w:r w:rsidR="000C20D2" w:rsidRPr="00D71B07">
        <w:rPr>
          <w:bCs/>
        </w:rPr>
        <w:t>P</w:t>
      </w:r>
      <w:r w:rsidR="009431AD" w:rsidRPr="00D71B07">
        <w:rPr>
          <w:bCs/>
        </w:rPr>
        <w:t xml:space="preserve">roductivité et de la </w:t>
      </w:r>
      <w:r w:rsidR="000C20D2" w:rsidRPr="00D71B07">
        <w:rPr>
          <w:bCs/>
        </w:rPr>
        <w:t xml:space="preserve">Diversification </w:t>
      </w:r>
      <w:r w:rsidR="009431AD" w:rsidRPr="00D71B07">
        <w:rPr>
          <w:bCs/>
        </w:rPr>
        <w:t>Agricole dans les Zones Arides du Mali (PDAZAM)</w:t>
      </w:r>
      <w:r w:rsidRPr="00D71B07">
        <w:rPr>
          <w:bCs/>
        </w:rPr>
        <w:t xml:space="preserve">, et a l’intention d’utiliser une partie du montant de ce crédit pour effectuer les paiements au titre </w:t>
      </w:r>
      <w:r w:rsidR="006654C6" w:rsidRPr="00D71B07">
        <w:rPr>
          <w:bCs/>
        </w:rPr>
        <w:t>des Services</w:t>
      </w:r>
      <w:r w:rsidR="00BB6B03" w:rsidRPr="00D71B07">
        <w:rPr>
          <w:bCs/>
        </w:rPr>
        <w:t xml:space="preserve"> de consultant chargé des études environnementales et sociales des travaux de </w:t>
      </w:r>
      <w:r w:rsidR="00FF0186">
        <w:rPr>
          <w:bCs/>
        </w:rPr>
        <w:t>cinquante-trois</w:t>
      </w:r>
      <w:r w:rsidR="00BB6B03" w:rsidRPr="00D71B07">
        <w:rPr>
          <w:bCs/>
        </w:rPr>
        <w:t xml:space="preserve"> (</w:t>
      </w:r>
      <w:r w:rsidR="00FF0186">
        <w:rPr>
          <w:bCs/>
        </w:rPr>
        <w:t>53</w:t>
      </w:r>
      <w:r w:rsidR="00BB6B03" w:rsidRPr="00D71B07">
        <w:rPr>
          <w:bCs/>
        </w:rPr>
        <w:t xml:space="preserve">) sous-projets d'infrastructures de commercialisation dans la région de </w:t>
      </w:r>
      <w:r w:rsidR="00FF0186">
        <w:rPr>
          <w:bCs/>
        </w:rPr>
        <w:t>Mopti</w:t>
      </w:r>
      <w:r w:rsidR="00BB6B03" w:rsidRPr="00D71B07">
        <w:rPr>
          <w:bCs/>
        </w:rPr>
        <w:t>.</w:t>
      </w:r>
    </w:p>
    <w:p w14:paraId="6C6A867E" w14:textId="518CF490" w:rsidR="00D71B07" w:rsidRPr="00D71B07" w:rsidRDefault="00D71B07" w:rsidP="00F553DF">
      <w:pPr>
        <w:pStyle w:val="Paragraphedeliste"/>
        <w:numPr>
          <w:ilvl w:val="0"/>
          <w:numId w:val="14"/>
        </w:numPr>
        <w:spacing w:before="240" w:line="276" w:lineRule="auto"/>
        <w:ind w:left="0" w:hanging="357"/>
        <w:contextualSpacing w:val="0"/>
        <w:rPr>
          <w:bCs/>
        </w:rPr>
      </w:pPr>
      <w:r w:rsidRPr="00D71B07">
        <w:rPr>
          <w:bCs/>
        </w:rPr>
        <w:t xml:space="preserve">La présente étude a pour objectif général de déterminer le niveau des impacts susceptibles d’être générés par les travaux d’aménagement des infrastructures de commercialisation et </w:t>
      </w:r>
      <w:r w:rsidRPr="00D71B07">
        <w:rPr>
          <w:bCs/>
        </w:rPr>
        <w:lastRenderedPageBreak/>
        <w:t>d’édicter des mesures d’atténuation et de surveillance appropriées, ainsi que des dispositifs à mettre en place pour la mise en œuvre desdites mesures.</w:t>
      </w:r>
    </w:p>
    <w:p w14:paraId="4DB68051" w14:textId="77777777" w:rsidR="00D71B07" w:rsidRPr="00D71B07" w:rsidRDefault="00D71B07" w:rsidP="00D71B07">
      <w:pPr>
        <w:spacing w:after="200" w:line="276" w:lineRule="auto"/>
        <w:jc w:val="both"/>
        <w:rPr>
          <w:rFonts w:eastAsia="Calibri"/>
          <w:szCs w:val="24"/>
        </w:rPr>
      </w:pPr>
      <w:r w:rsidRPr="00D71B07">
        <w:rPr>
          <w:rFonts w:eastAsia="Calibri"/>
          <w:szCs w:val="24"/>
        </w:rPr>
        <w:t xml:space="preserve">L’EIES prendra en compte la gestion environnementale et sociale en conformité avec les normes environnementales et sociales de la Banque Mondiale, ainsi qu’avec les lois d’évaluation environnementale en vigueur au Mali. Elle comprendra : (i) un diagnostic des impacts environnementaux et sociaux ; (ii) des recommandations pour remédier aux impacts négatifs significatifs ; (iii) des propositions de mesures pour éviter la dégradation de l’environnement ou limiter les impacts négatifs sur l’environnement ; et (iv) l’établissement d’un plan d’action environnemental ainsi que l’élaboration d’un chronogramme de sa mise en œuvre et de son suivi. </w:t>
      </w:r>
    </w:p>
    <w:p w14:paraId="6D6576AB" w14:textId="77777777" w:rsidR="00D71B07" w:rsidRPr="00D71B07" w:rsidRDefault="00D71B07" w:rsidP="00D71B07">
      <w:pPr>
        <w:spacing w:after="200" w:line="276" w:lineRule="auto"/>
        <w:jc w:val="both"/>
        <w:rPr>
          <w:rFonts w:eastAsia="Calibri"/>
          <w:szCs w:val="24"/>
        </w:rPr>
      </w:pPr>
      <w:r w:rsidRPr="00D71B07">
        <w:rPr>
          <w:rFonts w:eastAsia="Calibri"/>
          <w:szCs w:val="24"/>
        </w:rPr>
        <w:t>Les sous-projets d’infrastructures de commercialisation faisant l’objet des prestations sont classés par type de sous-projet ainsi que suit :</w:t>
      </w:r>
    </w:p>
    <w:p w14:paraId="688676C1" w14:textId="77777777" w:rsidR="00D71B07" w:rsidRPr="00D71B07" w:rsidRDefault="00D71B07" w:rsidP="00D71B07">
      <w:pPr>
        <w:numPr>
          <w:ilvl w:val="0"/>
          <w:numId w:val="12"/>
        </w:numPr>
        <w:spacing w:after="200" w:line="276" w:lineRule="auto"/>
        <w:jc w:val="both"/>
        <w:rPr>
          <w:rFonts w:eastAsia="Calibri"/>
          <w:szCs w:val="24"/>
        </w:rPr>
      </w:pPr>
      <w:r w:rsidRPr="00D71B07">
        <w:rPr>
          <w:rFonts w:eastAsia="Calibri"/>
          <w:b/>
          <w:szCs w:val="24"/>
        </w:rPr>
        <w:t>Type1 de sous-projet</w:t>
      </w:r>
      <w:r w:rsidRPr="00D71B07">
        <w:rPr>
          <w:rFonts w:eastAsia="Calibri"/>
          <w:szCs w:val="24"/>
        </w:rPr>
        <w:t> : Magasin de Stockage de 40 tonnes ;</w:t>
      </w:r>
    </w:p>
    <w:p w14:paraId="0986B50A" w14:textId="77777777" w:rsidR="00D71B07" w:rsidRPr="00D71B07" w:rsidRDefault="00D71B07" w:rsidP="00D71B07">
      <w:pPr>
        <w:numPr>
          <w:ilvl w:val="0"/>
          <w:numId w:val="12"/>
        </w:numPr>
        <w:spacing w:after="200" w:line="276" w:lineRule="auto"/>
        <w:jc w:val="both"/>
        <w:rPr>
          <w:rFonts w:eastAsia="Calibri"/>
          <w:szCs w:val="24"/>
        </w:rPr>
      </w:pPr>
      <w:r w:rsidRPr="00D71B07">
        <w:rPr>
          <w:rFonts w:eastAsia="Calibri"/>
          <w:b/>
          <w:szCs w:val="24"/>
        </w:rPr>
        <w:t>Type 2 de sous-projet</w:t>
      </w:r>
      <w:r w:rsidRPr="00D71B07">
        <w:rPr>
          <w:rFonts w:eastAsia="Calibri"/>
          <w:szCs w:val="24"/>
        </w:rPr>
        <w:t> : Banque de Céréales de 30 tonnes ;</w:t>
      </w:r>
    </w:p>
    <w:p w14:paraId="0FDBFBD4" w14:textId="77777777" w:rsidR="00D71B07" w:rsidRPr="00D71B07" w:rsidRDefault="00D71B07" w:rsidP="00D71B07">
      <w:pPr>
        <w:numPr>
          <w:ilvl w:val="0"/>
          <w:numId w:val="12"/>
        </w:numPr>
        <w:spacing w:after="200" w:line="276" w:lineRule="auto"/>
        <w:jc w:val="both"/>
        <w:rPr>
          <w:rFonts w:eastAsia="Calibri"/>
          <w:szCs w:val="24"/>
        </w:rPr>
      </w:pPr>
      <w:r w:rsidRPr="00D71B07">
        <w:rPr>
          <w:rFonts w:eastAsia="Calibri"/>
          <w:b/>
          <w:szCs w:val="24"/>
        </w:rPr>
        <w:t>Type 3 de sous-projet</w:t>
      </w:r>
      <w:r w:rsidRPr="00D71B07">
        <w:rPr>
          <w:rFonts w:eastAsia="Calibri"/>
          <w:szCs w:val="24"/>
        </w:rPr>
        <w:t> : Boutique d’intrant de capacité 20 tonnes ;</w:t>
      </w:r>
    </w:p>
    <w:p w14:paraId="0558BA87" w14:textId="77777777" w:rsidR="00D71B07" w:rsidRPr="00D71B07" w:rsidRDefault="00D71B07" w:rsidP="00D71B07">
      <w:pPr>
        <w:numPr>
          <w:ilvl w:val="0"/>
          <w:numId w:val="12"/>
        </w:numPr>
        <w:spacing w:after="200" w:line="276" w:lineRule="auto"/>
        <w:jc w:val="both"/>
        <w:rPr>
          <w:rFonts w:eastAsia="Calibri"/>
          <w:szCs w:val="24"/>
        </w:rPr>
      </w:pPr>
      <w:r w:rsidRPr="00D71B07">
        <w:rPr>
          <w:rFonts w:eastAsia="Calibri"/>
          <w:b/>
          <w:szCs w:val="24"/>
        </w:rPr>
        <w:t>Type 4 de sous-projet</w:t>
      </w:r>
      <w:r w:rsidRPr="00D71B07">
        <w:rPr>
          <w:rFonts w:eastAsia="Calibri"/>
          <w:szCs w:val="24"/>
        </w:rPr>
        <w:t> : Marché rural de capacité supérieure ou égale à 250 places assises.</w:t>
      </w:r>
    </w:p>
    <w:p w14:paraId="37F87D99" w14:textId="77777777" w:rsidR="00D71B07" w:rsidRPr="00D71B07" w:rsidRDefault="00D71B07" w:rsidP="00D71B07">
      <w:pPr>
        <w:spacing w:after="200" w:line="276" w:lineRule="auto"/>
        <w:jc w:val="both"/>
        <w:rPr>
          <w:rFonts w:eastAsia="Calibri"/>
          <w:szCs w:val="24"/>
        </w:rPr>
      </w:pPr>
      <w:r w:rsidRPr="00D71B07">
        <w:rPr>
          <w:rFonts w:eastAsia="Calibri"/>
          <w:szCs w:val="24"/>
        </w:rPr>
        <w:t xml:space="preserve">La répartition des sous-projets par Cercle dans la Région est la suivante : </w:t>
      </w:r>
    </w:p>
    <w:tbl>
      <w:tblPr>
        <w:tblW w:w="5000" w:type="pct"/>
        <w:tblCellMar>
          <w:left w:w="70" w:type="dxa"/>
          <w:right w:w="70" w:type="dxa"/>
        </w:tblCellMar>
        <w:tblLook w:val="04A0" w:firstRow="1" w:lastRow="0" w:firstColumn="1" w:lastColumn="0" w:noHBand="0" w:noVBand="1"/>
      </w:tblPr>
      <w:tblGrid>
        <w:gridCol w:w="1432"/>
        <w:gridCol w:w="1643"/>
        <w:gridCol w:w="1472"/>
        <w:gridCol w:w="1579"/>
        <w:gridCol w:w="1336"/>
        <w:gridCol w:w="1750"/>
      </w:tblGrid>
      <w:tr w:rsidR="00D71B07" w:rsidRPr="00D71B07" w14:paraId="4464BB85" w14:textId="77777777" w:rsidTr="00205211">
        <w:trPr>
          <w:trHeight w:val="645"/>
        </w:trPr>
        <w:tc>
          <w:tcPr>
            <w:tcW w:w="777" w:type="pct"/>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52F72508" w14:textId="77777777" w:rsidR="00D71B07" w:rsidRPr="00D71B07" w:rsidRDefault="00D71B07" w:rsidP="00D71B07">
            <w:pPr>
              <w:spacing w:after="200" w:line="276" w:lineRule="auto"/>
              <w:jc w:val="both"/>
              <w:rPr>
                <w:rFonts w:eastAsia="Calibri"/>
                <w:b/>
                <w:bCs/>
                <w:szCs w:val="24"/>
              </w:rPr>
            </w:pPr>
            <w:r w:rsidRPr="00D71B07">
              <w:rPr>
                <w:rFonts w:eastAsia="Calibri"/>
                <w:szCs w:val="24"/>
              </w:rPr>
              <w:t xml:space="preserve">  </w:t>
            </w:r>
            <w:r w:rsidRPr="00D71B07">
              <w:rPr>
                <w:rFonts w:eastAsia="Calibri"/>
                <w:b/>
                <w:bCs/>
                <w:szCs w:val="24"/>
              </w:rPr>
              <w:t>Cercles</w:t>
            </w:r>
          </w:p>
        </w:tc>
        <w:tc>
          <w:tcPr>
            <w:tcW w:w="892" w:type="pct"/>
            <w:tcBorders>
              <w:top w:val="single" w:sz="8" w:space="0" w:color="auto"/>
              <w:left w:val="nil"/>
              <w:bottom w:val="single" w:sz="8" w:space="0" w:color="auto"/>
              <w:right w:val="single" w:sz="8" w:space="0" w:color="auto"/>
            </w:tcBorders>
            <w:shd w:val="clear" w:color="000000" w:fill="F2F2F2"/>
            <w:vAlign w:val="center"/>
            <w:hideMark/>
          </w:tcPr>
          <w:p w14:paraId="6E548490"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Type 1 : Magasin de Stockage</w:t>
            </w:r>
          </w:p>
        </w:tc>
        <w:tc>
          <w:tcPr>
            <w:tcW w:w="799" w:type="pct"/>
            <w:tcBorders>
              <w:top w:val="single" w:sz="8" w:space="0" w:color="auto"/>
              <w:left w:val="nil"/>
              <w:bottom w:val="single" w:sz="8" w:space="0" w:color="auto"/>
              <w:right w:val="single" w:sz="8" w:space="0" w:color="auto"/>
            </w:tcBorders>
            <w:shd w:val="clear" w:color="000000" w:fill="F2F2F2"/>
            <w:vAlign w:val="center"/>
            <w:hideMark/>
          </w:tcPr>
          <w:p w14:paraId="3B6E6E4A"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Type 2 : Banque de céréale</w:t>
            </w:r>
          </w:p>
        </w:tc>
        <w:tc>
          <w:tcPr>
            <w:tcW w:w="857" w:type="pct"/>
            <w:tcBorders>
              <w:top w:val="single" w:sz="8" w:space="0" w:color="auto"/>
              <w:left w:val="nil"/>
              <w:bottom w:val="single" w:sz="8" w:space="0" w:color="auto"/>
              <w:right w:val="single" w:sz="8" w:space="0" w:color="auto"/>
            </w:tcBorders>
            <w:shd w:val="clear" w:color="000000" w:fill="F2F2F2"/>
            <w:vAlign w:val="center"/>
            <w:hideMark/>
          </w:tcPr>
          <w:p w14:paraId="1689EEF8"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Type 3 : Boutique d'intrant</w:t>
            </w:r>
          </w:p>
        </w:tc>
        <w:tc>
          <w:tcPr>
            <w:tcW w:w="725" w:type="pct"/>
            <w:tcBorders>
              <w:top w:val="single" w:sz="8" w:space="0" w:color="auto"/>
              <w:left w:val="nil"/>
              <w:bottom w:val="single" w:sz="8" w:space="0" w:color="auto"/>
              <w:right w:val="single" w:sz="8" w:space="0" w:color="auto"/>
            </w:tcBorders>
            <w:shd w:val="clear" w:color="000000" w:fill="F2F2F2"/>
            <w:vAlign w:val="center"/>
            <w:hideMark/>
          </w:tcPr>
          <w:p w14:paraId="44A14AA7"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Type 4 : Marché rural</w:t>
            </w:r>
          </w:p>
        </w:tc>
        <w:tc>
          <w:tcPr>
            <w:tcW w:w="950" w:type="pct"/>
            <w:tcBorders>
              <w:top w:val="single" w:sz="8" w:space="0" w:color="auto"/>
              <w:left w:val="nil"/>
              <w:bottom w:val="single" w:sz="8" w:space="0" w:color="auto"/>
              <w:right w:val="single" w:sz="8" w:space="0" w:color="auto"/>
            </w:tcBorders>
            <w:shd w:val="clear" w:color="000000" w:fill="F2F2F2"/>
            <w:vAlign w:val="center"/>
            <w:hideMark/>
          </w:tcPr>
          <w:p w14:paraId="7AB9C919"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Total/Sous-projet par cercle</w:t>
            </w:r>
          </w:p>
        </w:tc>
      </w:tr>
      <w:tr w:rsidR="00D71B07" w:rsidRPr="00D71B07" w14:paraId="0C4646B4" w14:textId="77777777" w:rsidTr="00205211">
        <w:trPr>
          <w:trHeight w:val="330"/>
        </w:trPr>
        <w:tc>
          <w:tcPr>
            <w:tcW w:w="777" w:type="pct"/>
            <w:tcBorders>
              <w:top w:val="nil"/>
              <w:left w:val="single" w:sz="8" w:space="0" w:color="auto"/>
              <w:bottom w:val="single" w:sz="8" w:space="0" w:color="auto"/>
              <w:right w:val="single" w:sz="8" w:space="0" w:color="auto"/>
            </w:tcBorders>
            <w:shd w:val="clear" w:color="auto" w:fill="auto"/>
            <w:noWrap/>
            <w:vAlign w:val="center"/>
            <w:hideMark/>
          </w:tcPr>
          <w:p w14:paraId="677AA578"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Bandiagara</w:t>
            </w:r>
          </w:p>
        </w:tc>
        <w:tc>
          <w:tcPr>
            <w:tcW w:w="892" w:type="pct"/>
            <w:tcBorders>
              <w:top w:val="nil"/>
              <w:left w:val="nil"/>
              <w:bottom w:val="single" w:sz="8" w:space="0" w:color="auto"/>
              <w:right w:val="single" w:sz="8" w:space="0" w:color="auto"/>
            </w:tcBorders>
            <w:shd w:val="clear" w:color="auto" w:fill="auto"/>
            <w:noWrap/>
            <w:vAlign w:val="center"/>
            <w:hideMark/>
          </w:tcPr>
          <w:p w14:paraId="672AE9B9" w14:textId="77777777" w:rsidR="00D71B07" w:rsidRPr="00D71B07" w:rsidRDefault="00D71B07" w:rsidP="00D71B07">
            <w:pPr>
              <w:spacing w:after="200" w:line="276" w:lineRule="auto"/>
              <w:jc w:val="both"/>
              <w:rPr>
                <w:rFonts w:eastAsia="Calibri"/>
                <w:szCs w:val="24"/>
              </w:rPr>
            </w:pPr>
            <w:r w:rsidRPr="00D71B07">
              <w:rPr>
                <w:rFonts w:eastAsia="Calibri"/>
                <w:szCs w:val="24"/>
              </w:rPr>
              <w:t>4</w:t>
            </w:r>
          </w:p>
        </w:tc>
        <w:tc>
          <w:tcPr>
            <w:tcW w:w="799" w:type="pct"/>
            <w:tcBorders>
              <w:top w:val="nil"/>
              <w:left w:val="nil"/>
              <w:bottom w:val="single" w:sz="8" w:space="0" w:color="auto"/>
              <w:right w:val="single" w:sz="8" w:space="0" w:color="auto"/>
            </w:tcBorders>
            <w:shd w:val="clear" w:color="auto" w:fill="auto"/>
            <w:noWrap/>
            <w:vAlign w:val="center"/>
            <w:hideMark/>
          </w:tcPr>
          <w:p w14:paraId="74554515" w14:textId="77777777" w:rsidR="00D71B07" w:rsidRPr="00D71B07" w:rsidRDefault="00D71B07" w:rsidP="00D71B07">
            <w:pPr>
              <w:spacing w:after="200" w:line="276" w:lineRule="auto"/>
              <w:jc w:val="both"/>
              <w:rPr>
                <w:rFonts w:eastAsia="Calibri"/>
                <w:szCs w:val="24"/>
              </w:rPr>
            </w:pPr>
            <w:r w:rsidRPr="00D71B07">
              <w:rPr>
                <w:rFonts w:eastAsia="Calibri"/>
                <w:szCs w:val="24"/>
              </w:rPr>
              <w:t>4</w:t>
            </w:r>
          </w:p>
        </w:tc>
        <w:tc>
          <w:tcPr>
            <w:tcW w:w="857" w:type="pct"/>
            <w:tcBorders>
              <w:top w:val="nil"/>
              <w:left w:val="nil"/>
              <w:bottom w:val="single" w:sz="8" w:space="0" w:color="auto"/>
              <w:right w:val="single" w:sz="8" w:space="0" w:color="auto"/>
            </w:tcBorders>
            <w:shd w:val="clear" w:color="auto" w:fill="auto"/>
            <w:noWrap/>
            <w:vAlign w:val="center"/>
            <w:hideMark/>
          </w:tcPr>
          <w:p w14:paraId="06481F88" w14:textId="77777777" w:rsidR="00D71B07" w:rsidRPr="00D71B07" w:rsidRDefault="00D71B07" w:rsidP="00D71B07">
            <w:pPr>
              <w:spacing w:after="200" w:line="276" w:lineRule="auto"/>
              <w:jc w:val="both"/>
              <w:rPr>
                <w:rFonts w:eastAsia="Calibri"/>
                <w:szCs w:val="24"/>
              </w:rPr>
            </w:pPr>
            <w:r w:rsidRPr="00D71B07">
              <w:rPr>
                <w:rFonts w:eastAsia="Calibri"/>
                <w:szCs w:val="24"/>
              </w:rPr>
              <w:t>4</w:t>
            </w:r>
          </w:p>
        </w:tc>
        <w:tc>
          <w:tcPr>
            <w:tcW w:w="725" w:type="pct"/>
            <w:tcBorders>
              <w:top w:val="nil"/>
              <w:left w:val="nil"/>
              <w:bottom w:val="single" w:sz="8" w:space="0" w:color="auto"/>
              <w:right w:val="single" w:sz="8" w:space="0" w:color="auto"/>
            </w:tcBorders>
            <w:shd w:val="clear" w:color="auto" w:fill="auto"/>
            <w:noWrap/>
            <w:vAlign w:val="center"/>
            <w:hideMark/>
          </w:tcPr>
          <w:p w14:paraId="17EE6346" w14:textId="77777777" w:rsidR="00D71B07" w:rsidRPr="00D71B07" w:rsidRDefault="00D71B07" w:rsidP="00D71B07">
            <w:pPr>
              <w:spacing w:after="200" w:line="276" w:lineRule="auto"/>
              <w:jc w:val="both"/>
              <w:rPr>
                <w:rFonts w:eastAsia="Calibri"/>
                <w:szCs w:val="24"/>
              </w:rPr>
            </w:pPr>
            <w:r w:rsidRPr="00D71B07">
              <w:rPr>
                <w:rFonts w:eastAsia="Calibri"/>
                <w:szCs w:val="24"/>
              </w:rPr>
              <w:t>4</w:t>
            </w:r>
          </w:p>
        </w:tc>
        <w:tc>
          <w:tcPr>
            <w:tcW w:w="950" w:type="pct"/>
            <w:tcBorders>
              <w:top w:val="nil"/>
              <w:left w:val="nil"/>
              <w:bottom w:val="single" w:sz="8" w:space="0" w:color="auto"/>
              <w:right w:val="single" w:sz="8" w:space="0" w:color="auto"/>
            </w:tcBorders>
            <w:shd w:val="clear" w:color="auto" w:fill="auto"/>
            <w:noWrap/>
            <w:vAlign w:val="center"/>
            <w:hideMark/>
          </w:tcPr>
          <w:p w14:paraId="2F63371E"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16</w:t>
            </w:r>
          </w:p>
        </w:tc>
      </w:tr>
      <w:tr w:rsidR="00D71B07" w:rsidRPr="00D71B07" w14:paraId="35088D88" w14:textId="77777777" w:rsidTr="00205211">
        <w:trPr>
          <w:trHeight w:val="330"/>
        </w:trPr>
        <w:tc>
          <w:tcPr>
            <w:tcW w:w="777" w:type="pct"/>
            <w:tcBorders>
              <w:top w:val="nil"/>
              <w:left w:val="single" w:sz="8" w:space="0" w:color="auto"/>
              <w:bottom w:val="single" w:sz="8" w:space="0" w:color="auto"/>
              <w:right w:val="single" w:sz="8" w:space="0" w:color="auto"/>
            </w:tcBorders>
            <w:shd w:val="clear" w:color="auto" w:fill="auto"/>
            <w:noWrap/>
            <w:vAlign w:val="center"/>
            <w:hideMark/>
          </w:tcPr>
          <w:p w14:paraId="7F1321D5"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Douentza</w:t>
            </w:r>
          </w:p>
        </w:tc>
        <w:tc>
          <w:tcPr>
            <w:tcW w:w="892" w:type="pct"/>
            <w:tcBorders>
              <w:top w:val="nil"/>
              <w:left w:val="nil"/>
              <w:bottom w:val="single" w:sz="8" w:space="0" w:color="auto"/>
              <w:right w:val="single" w:sz="8" w:space="0" w:color="auto"/>
            </w:tcBorders>
            <w:shd w:val="clear" w:color="auto" w:fill="auto"/>
            <w:noWrap/>
            <w:vAlign w:val="center"/>
            <w:hideMark/>
          </w:tcPr>
          <w:p w14:paraId="1C05DC4C" w14:textId="77777777" w:rsidR="00D71B07" w:rsidRPr="00D71B07" w:rsidRDefault="00D71B07" w:rsidP="00D71B07">
            <w:pPr>
              <w:spacing w:after="200" w:line="276" w:lineRule="auto"/>
              <w:jc w:val="both"/>
              <w:rPr>
                <w:rFonts w:eastAsia="Calibri"/>
                <w:szCs w:val="24"/>
              </w:rPr>
            </w:pPr>
            <w:r w:rsidRPr="00D71B07">
              <w:rPr>
                <w:rFonts w:eastAsia="Calibri"/>
                <w:szCs w:val="24"/>
              </w:rPr>
              <w:t>4</w:t>
            </w:r>
          </w:p>
        </w:tc>
        <w:tc>
          <w:tcPr>
            <w:tcW w:w="799" w:type="pct"/>
            <w:tcBorders>
              <w:top w:val="nil"/>
              <w:left w:val="nil"/>
              <w:bottom w:val="single" w:sz="8" w:space="0" w:color="auto"/>
              <w:right w:val="single" w:sz="8" w:space="0" w:color="auto"/>
            </w:tcBorders>
            <w:shd w:val="clear" w:color="auto" w:fill="auto"/>
            <w:noWrap/>
            <w:vAlign w:val="center"/>
            <w:hideMark/>
          </w:tcPr>
          <w:p w14:paraId="27E10316" w14:textId="77777777" w:rsidR="00D71B07" w:rsidRPr="00D71B07" w:rsidRDefault="00D71B07" w:rsidP="00D71B07">
            <w:pPr>
              <w:spacing w:after="200" w:line="276" w:lineRule="auto"/>
              <w:jc w:val="both"/>
              <w:rPr>
                <w:rFonts w:eastAsia="Calibri"/>
                <w:szCs w:val="24"/>
              </w:rPr>
            </w:pPr>
            <w:r w:rsidRPr="00D71B07">
              <w:rPr>
                <w:rFonts w:eastAsia="Calibri"/>
                <w:szCs w:val="24"/>
              </w:rPr>
              <w:t>4</w:t>
            </w:r>
          </w:p>
        </w:tc>
        <w:tc>
          <w:tcPr>
            <w:tcW w:w="857" w:type="pct"/>
            <w:tcBorders>
              <w:top w:val="nil"/>
              <w:left w:val="nil"/>
              <w:bottom w:val="single" w:sz="8" w:space="0" w:color="auto"/>
              <w:right w:val="single" w:sz="8" w:space="0" w:color="auto"/>
            </w:tcBorders>
            <w:shd w:val="clear" w:color="auto" w:fill="auto"/>
            <w:noWrap/>
            <w:vAlign w:val="center"/>
            <w:hideMark/>
          </w:tcPr>
          <w:p w14:paraId="7E4034A9" w14:textId="77777777" w:rsidR="00D71B07" w:rsidRPr="00D71B07" w:rsidRDefault="00D71B07" w:rsidP="00D71B07">
            <w:pPr>
              <w:spacing w:after="200" w:line="276" w:lineRule="auto"/>
              <w:jc w:val="both"/>
              <w:rPr>
                <w:rFonts w:eastAsia="Calibri"/>
                <w:szCs w:val="24"/>
              </w:rPr>
            </w:pPr>
            <w:r w:rsidRPr="00D71B07">
              <w:rPr>
                <w:rFonts w:eastAsia="Calibri"/>
                <w:szCs w:val="24"/>
              </w:rPr>
              <w:t>4</w:t>
            </w:r>
          </w:p>
        </w:tc>
        <w:tc>
          <w:tcPr>
            <w:tcW w:w="725" w:type="pct"/>
            <w:tcBorders>
              <w:top w:val="nil"/>
              <w:left w:val="nil"/>
              <w:bottom w:val="single" w:sz="8" w:space="0" w:color="auto"/>
              <w:right w:val="single" w:sz="8" w:space="0" w:color="auto"/>
            </w:tcBorders>
            <w:shd w:val="clear" w:color="auto" w:fill="auto"/>
            <w:noWrap/>
            <w:vAlign w:val="center"/>
            <w:hideMark/>
          </w:tcPr>
          <w:p w14:paraId="00313727" w14:textId="77777777" w:rsidR="00D71B07" w:rsidRPr="00D71B07" w:rsidRDefault="00D71B07" w:rsidP="00D71B07">
            <w:pPr>
              <w:spacing w:after="200" w:line="276" w:lineRule="auto"/>
              <w:jc w:val="both"/>
              <w:rPr>
                <w:rFonts w:eastAsia="Calibri"/>
                <w:szCs w:val="24"/>
              </w:rPr>
            </w:pPr>
            <w:r w:rsidRPr="00D71B07">
              <w:rPr>
                <w:rFonts w:eastAsia="Calibri"/>
                <w:szCs w:val="24"/>
              </w:rPr>
              <w:t>4</w:t>
            </w:r>
          </w:p>
        </w:tc>
        <w:tc>
          <w:tcPr>
            <w:tcW w:w="950" w:type="pct"/>
            <w:tcBorders>
              <w:top w:val="nil"/>
              <w:left w:val="nil"/>
              <w:bottom w:val="single" w:sz="8" w:space="0" w:color="auto"/>
              <w:right w:val="single" w:sz="8" w:space="0" w:color="auto"/>
            </w:tcBorders>
            <w:shd w:val="clear" w:color="auto" w:fill="auto"/>
            <w:noWrap/>
            <w:vAlign w:val="center"/>
            <w:hideMark/>
          </w:tcPr>
          <w:p w14:paraId="7B1D7B1A"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16</w:t>
            </w:r>
          </w:p>
        </w:tc>
      </w:tr>
      <w:tr w:rsidR="00D71B07" w:rsidRPr="00D71B07" w14:paraId="37428AFC" w14:textId="77777777" w:rsidTr="00205211">
        <w:trPr>
          <w:trHeight w:val="330"/>
        </w:trPr>
        <w:tc>
          <w:tcPr>
            <w:tcW w:w="777" w:type="pct"/>
            <w:tcBorders>
              <w:top w:val="nil"/>
              <w:left w:val="single" w:sz="8" w:space="0" w:color="auto"/>
              <w:bottom w:val="single" w:sz="8" w:space="0" w:color="auto"/>
              <w:right w:val="single" w:sz="8" w:space="0" w:color="auto"/>
            </w:tcBorders>
            <w:shd w:val="clear" w:color="auto" w:fill="auto"/>
            <w:noWrap/>
            <w:vAlign w:val="center"/>
            <w:hideMark/>
          </w:tcPr>
          <w:p w14:paraId="242A70A7"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Youwarou</w:t>
            </w:r>
          </w:p>
        </w:tc>
        <w:tc>
          <w:tcPr>
            <w:tcW w:w="892" w:type="pct"/>
            <w:tcBorders>
              <w:top w:val="nil"/>
              <w:left w:val="nil"/>
              <w:bottom w:val="single" w:sz="8" w:space="0" w:color="auto"/>
              <w:right w:val="single" w:sz="8" w:space="0" w:color="auto"/>
            </w:tcBorders>
            <w:shd w:val="clear" w:color="auto" w:fill="auto"/>
            <w:noWrap/>
            <w:vAlign w:val="center"/>
            <w:hideMark/>
          </w:tcPr>
          <w:p w14:paraId="0B306CC5" w14:textId="77777777" w:rsidR="00D71B07" w:rsidRPr="00D71B07" w:rsidRDefault="00D71B07" w:rsidP="00D71B07">
            <w:pPr>
              <w:spacing w:after="200" w:line="276" w:lineRule="auto"/>
              <w:jc w:val="both"/>
              <w:rPr>
                <w:rFonts w:eastAsia="Calibri"/>
                <w:szCs w:val="24"/>
              </w:rPr>
            </w:pPr>
            <w:r w:rsidRPr="00D71B07">
              <w:rPr>
                <w:rFonts w:eastAsia="Calibri"/>
                <w:szCs w:val="24"/>
              </w:rPr>
              <w:t>2</w:t>
            </w:r>
          </w:p>
        </w:tc>
        <w:tc>
          <w:tcPr>
            <w:tcW w:w="799" w:type="pct"/>
            <w:tcBorders>
              <w:top w:val="nil"/>
              <w:left w:val="nil"/>
              <w:bottom w:val="single" w:sz="8" w:space="0" w:color="auto"/>
              <w:right w:val="single" w:sz="8" w:space="0" w:color="auto"/>
            </w:tcBorders>
            <w:shd w:val="clear" w:color="auto" w:fill="auto"/>
            <w:noWrap/>
            <w:vAlign w:val="center"/>
            <w:hideMark/>
          </w:tcPr>
          <w:p w14:paraId="5BC97A96" w14:textId="77777777" w:rsidR="00D71B07" w:rsidRPr="00D71B07" w:rsidRDefault="00D71B07" w:rsidP="00D71B07">
            <w:pPr>
              <w:spacing w:after="200" w:line="276" w:lineRule="auto"/>
              <w:jc w:val="both"/>
              <w:rPr>
                <w:rFonts w:eastAsia="Calibri"/>
                <w:szCs w:val="24"/>
              </w:rPr>
            </w:pPr>
            <w:r w:rsidRPr="00D71B07">
              <w:rPr>
                <w:rFonts w:eastAsia="Calibri"/>
                <w:szCs w:val="24"/>
              </w:rPr>
              <w:t>3</w:t>
            </w:r>
          </w:p>
        </w:tc>
        <w:tc>
          <w:tcPr>
            <w:tcW w:w="857" w:type="pct"/>
            <w:tcBorders>
              <w:top w:val="nil"/>
              <w:left w:val="nil"/>
              <w:bottom w:val="single" w:sz="8" w:space="0" w:color="auto"/>
              <w:right w:val="single" w:sz="8" w:space="0" w:color="auto"/>
            </w:tcBorders>
            <w:shd w:val="clear" w:color="auto" w:fill="auto"/>
            <w:noWrap/>
            <w:vAlign w:val="center"/>
            <w:hideMark/>
          </w:tcPr>
          <w:p w14:paraId="5B70AF19" w14:textId="77777777" w:rsidR="00D71B07" w:rsidRPr="00D71B07" w:rsidRDefault="00D71B07" w:rsidP="00D71B07">
            <w:pPr>
              <w:spacing w:after="200" w:line="276" w:lineRule="auto"/>
              <w:jc w:val="both"/>
              <w:rPr>
                <w:rFonts w:eastAsia="Calibri"/>
                <w:szCs w:val="24"/>
              </w:rPr>
            </w:pPr>
            <w:r w:rsidRPr="00D71B07">
              <w:rPr>
                <w:rFonts w:eastAsia="Calibri"/>
                <w:szCs w:val="24"/>
              </w:rPr>
              <w:t>3</w:t>
            </w:r>
          </w:p>
        </w:tc>
        <w:tc>
          <w:tcPr>
            <w:tcW w:w="725" w:type="pct"/>
            <w:tcBorders>
              <w:top w:val="nil"/>
              <w:left w:val="nil"/>
              <w:bottom w:val="single" w:sz="8" w:space="0" w:color="auto"/>
              <w:right w:val="single" w:sz="8" w:space="0" w:color="auto"/>
            </w:tcBorders>
            <w:shd w:val="clear" w:color="auto" w:fill="auto"/>
            <w:noWrap/>
            <w:vAlign w:val="center"/>
            <w:hideMark/>
          </w:tcPr>
          <w:p w14:paraId="0CFA2D6C" w14:textId="77777777" w:rsidR="00D71B07" w:rsidRPr="00D71B07" w:rsidRDefault="00D71B07" w:rsidP="00D71B07">
            <w:pPr>
              <w:spacing w:after="200" w:line="276" w:lineRule="auto"/>
              <w:jc w:val="both"/>
              <w:rPr>
                <w:rFonts w:eastAsia="Calibri"/>
                <w:szCs w:val="24"/>
              </w:rPr>
            </w:pPr>
            <w:r w:rsidRPr="00D71B07">
              <w:rPr>
                <w:rFonts w:eastAsia="Calibri"/>
                <w:szCs w:val="24"/>
              </w:rPr>
              <w:t>1</w:t>
            </w:r>
          </w:p>
        </w:tc>
        <w:tc>
          <w:tcPr>
            <w:tcW w:w="950" w:type="pct"/>
            <w:tcBorders>
              <w:top w:val="nil"/>
              <w:left w:val="nil"/>
              <w:bottom w:val="single" w:sz="8" w:space="0" w:color="auto"/>
              <w:right w:val="single" w:sz="8" w:space="0" w:color="auto"/>
            </w:tcBorders>
            <w:shd w:val="clear" w:color="auto" w:fill="auto"/>
            <w:noWrap/>
            <w:vAlign w:val="center"/>
            <w:hideMark/>
          </w:tcPr>
          <w:p w14:paraId="74AD4BD1"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9</w:t>
            </w:r>
          </w:p>
        </w:tc>
      </w:tr>
      <w:tr w:rsidR="00D71B07" w:rsidRPr="00D71B07" w14:paraId="28515AAB" w14:textId="77777777" w:rsidTr="00205211">
        <w:trPr>
          <w:trHeight w:val="330"/>
        </w:trPr>
        <w:tc>
          <w:tcPr>
            <w:tcW w:w="777" w:type="pct"/>
            <w:tcBorders>
              <w:top w:val="nil"/>
              <w:left w:val="single" w:sz="8" w:space="0" w:color="auto"/>
              <w:bottom w:val="single" w:sz="8" w:space="0" w:color="auto"/>
              <w:right w:val="single" w:sz="8" w:space="0" w:color="auto"/>
            </w:tcBorders>
            <w:shd w:val="clear" w:color="auto" w:fill="auto"/>
            <w:noWrap/>
            <w:vAlign w:val="center"/>
            <w:hideMark/>
          </w:tcPr>
          <w:p w14:paraId="0EDABB58"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Tenenkou</w:t>
            </w:r>
          </w:p>
        </w:tc>
        <w:tc>
          <w:tcPr>
            <w:tcW w:w="892" w:type="pct"/>
            <w:tcBorders>
              <w:top w:val="nil"/>
              <w:left w:val="nil"/>
              <w:bottom w:val="single" w:sz="8" w:space="0" w:color="auto"/>
              <w:right w:val="single" w:sz="8" w:space="0" w:color="auto"/>
            </w:tcBorders>
            <w:shd w:val="clear" w:color="auto" w:fill="auto"/>
            <w:noWrap/>
            <w:vAlign w:val="center"/>
            <w:hideMark/>
          </w:tcPr>
          <w:p w14:paraId="7851D19E" w14:textId="77777777" w:rsidR="00D71B07" w:rsidRPr="00D71B07" w:rsidRDefault="00D71B07" w:rsidP="00D71B07">
            <w:pPr>
              <w:spacing w:after="200" w:line="276" w:lineRule="auto"/>
              <w:jc w:val="both"/>
              <w:rPr>
                <w:rFonts w:eastAsia="Calibri"/>
                <w:szCs w:val="24"/>
              </w:rPr>
            </w:pPr>
            <w:r w:rsidRPr="00D71B07">
              <w:rPr>
                <w:rFonts w:eastAsia="Calibri"/>
                <w:szCs w:val="24"/>
              </w:rPr>
              <w:t>3</w:t>
            </w:r>
          </w:p>
        </w:tc>
        <w:tc>
          <w:tcPr>
            <w:tcW w:w="799" w:type="pct"/>
            <w:tcBorders>
              <w:top w:val="nil"/>
              <w:left w:val="nil"/>
              <w:bottom w:val="single" w:sz="8" w:space="0" w:color="auto"/>
              <w:right w:val="single" w:sz="8" w:space="0" w:color="auto"/>
            </w:tcBorders>
            <w:shd w:val="clear" w:color="auto" w:fill="auto"/>
            <w:noWrap/>
            <w:vAlign w:val="center"/>
            <w:hideMark/>
          </w:tcPr>
          <w:p w14:paraId="75E39281" w14:textId="77777777" w:rsidR="00D71B07" w:rsidRPr="00D71B07" w:rsidRDefault="00D71B07" w:rsidP="00D71B07">
            <w:pPr>
              <w:spacing w:after="200" w:line="276" w:lineRule="auto"/>
              <w:jc w:val="both"/>
              <w:rPr>
                <w:rFonts w:eastAsia="Calibri"/>
                <w:szCs w:val="24"/>
              </w:rPr>
            </w:pPr>
            <w:r w:rsidRPr="00D71B07">
              <w:rPr>
                <w:rFonts w:eastAsia="Calibri"/>
                <w:szCs w:val="24"/>
              </w:rPr>
              <w:t>5</w:t>
            </w:r>
          </w:p>
        </w:tc>
        <w:tc>
          <w:tcPr>
            <w:tcW w:w="857" w:type="pct"/>
            <w:tcBorders>
              <w:top w:val="nil"/>
              <w:left w:val="nil"/>
              <w:bottom w:val="single" w:sz="8" w:space="0" w:color="auto"/>
              <w:right w:val="single" w:sz="8" w:space="0" w:color="auto"/>
            </w:tcBorders>
            <w:shd w:val="clear" w:color="auto" w:fill="auto"/>
            <w:noWrap/>
            <w:vAlign w:val="center"/>
            <w:hideMark/>
          </w:tcPr>
          <w:p w14:paraId="367865A9" w14:textId="77777777" w:rsidR="00D71B07" w:rsidRPr="00D71B07" w:rsidRDefault="00D71B07" w:rsidP="00D71B07">
            <w:pPr>
              <w:spacing w:after="200" w:line="276" w:lineRule="auto"/>
              <w:jc w:val="both"/>
              <w:rPr>
                <w:rFonts w:eastAsia="Calibri"/>
                <w:szCs w:val="24"/>
              </w:rPr>
            </w:pPr>
            <w:r w:rsidRPr="00D71B07">
              <w:rPr>
                <w:rFonts w:eastAsia="Calibri"/>
                <w:szCs w:val="24"/>
              </w:rPr>
              <w:t>3</w:t>
            </w:r>
          </w:p>
        </w:tc>
        <w:tc>
          <w:tcPr>
            <w:tcW w:w="725" w:type="pct"/>
            <w:tcBorders>
              <w:top w:val="nil"/>
              <w:left w:val="nil"/>
              <w:bottom w:val="single" w:sz="8" w:space="0" w:color="auto"/>
              <w:right w:val="single" w:sz="8" w:space="0" w:color="auto"/>
            </w:tcBorders>
            <w:shd w:val="clear" w:color="auto" w:fill="auto"/>
            <w:noWrap/>
            <w:vAlign w:val="center"/>
            <w:hideMark/>
          </w:tcPr>
          <w:p w14:paraId="43E0D58B" w14:textId="77777777" w:rsidR="00D71B07" w:rsidRPr="00D71B07" w:rsidRDefault="00D71B07" w:rsidP="00D71B07">
            <w:pPr>
              <w:spacing w:after="200" w:line="276" w:lineRule="auto"/>
              <w:jc w:val="both"/>
              <w:rPr>
                <w:rFonts w:eastAsia="Calibri"/>
                <w:szCs w:val="24"/>
              </w:rPr>
            </w:pPr>
            <w:r w:rsidRPr="00D71B07">
              <w:rPr>
                <w:rFonts w:eastAsia="Calibri"/>
                <w:szCs w:val="24"/>
              </w:rPr>
              <w:t>1</w:t>
            </w:r>
          </w:p>
        </w:tc>
        <w:tc>
          <w:tcPr>
            <w:tcW w:w="950" w:type="pct"/>
            <w:tcBorders>
              <w:top w:val="nil"/>
              <w:left w:val="nil"/>
              <w:bottom w:val="single" w:sz="8" w:space="0" w:color="auto"/>
              <w:right w:val="single" w:sz="8" w:space="0" w:color="auto"/>
            </w:tcBorders>
            <w:shd w:val="clear" w:color="auto" w:fill="auto"/>
            <w:noWrap/>
            <w:vAlign w:val="center"/>
            <w:hideMark/>
          </w:tcPr>
          <w:p w14:paraId="236D0479"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12</w:t>
            </w:r>
          </w:p>
        </w:tc>
      </w:tr>
      <w:tr w:rsidR="00D71B07" w:rsidRPr="00D71B07" w14:paraId="2CD9DC54" w14:textId="77777777" w:rsidTr="00205211">
        <w:trPr>
          <w:trHeight w:val="330"/>
        </w:trPr>
        <w:tc>
          <w:tcPr>
            <w:tcW w:w="777" w:type="pct"/>
            <w:tcBorders>
              <w:top w:val="nil"/>
              <w:left w:val="single" w:sz="8" w:space="0" w:color="auto"/>
              <w:bottom w:val="single" w:sz="8" w:space="0" w:color="auto"/>
              <w:right w:val="single" w:sz="8" w:space="0" w:color="auto"/>
            </w:tcBorders>
            <w:shd w:val="clear" w:color="000000" w:fill="E7E6E6"/>
            <w:vAlign w:val="center"/>
            <w:hideMark/>
          </w:tcPr>
          <w:p w14:paraId="54101B40"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Total/sous-projet</w:t>
            </w:r>
          </w:p>
        </w:tc>
        <w:tc>
          <w:tcPr>
            <w:tcW w:w="892" w:type="pct"/>
            <w:tcBorders>
              <w:top w:val="nil"/>
              <w:left w:val="nil"/>
              <w:bottom w:val="single" w:sz="8" w:space="0" w:color="auto"/>
              <w:right w:val="single" w:sz="8" w:space="0" w:color="auto"/>
            </w:tcBorders>
            <w:shd w:val="clear" w:color="000000" w:fill="E7E6E6"/>
            <w:noWrap/>
            <w:vAlign w:val="center"/>
            <w:hideMark/>
          </w:tcPr>
          <w:p w14:paraId="08F24AE2"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13</w:t>
            </w:r>
          </w:p>
        </w:tc>
        <w:tc>
          <w:tcPr>
            <w:tcW w:w="799" w:type="pct"/>
            <w:tcBorders>
              <w:top w:val="nil"/>
              <w:left w:val="nil"/>
              <w:bottom w:val="single" w:sz="8" w:space="0" w:color="auto"/>
              <w:right w:val="single" w:sz="8" w:space="0" w:color="auto"/>
            </w:tcBorders>
            <w:shd w:val="clear" w:color="000000" w:fill="E7E6E6"/>
            <w:noWrap/>
            <w:vAlign w:val="center"/>
            <w:hideMark/>
          </w:tcPr>
          <w:p w14:paraId="522F7167"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16</w:t>
            </w:r>
          </w:p>
        </w:tc>
        <w:tc>
          <w:tcPr>
            <w:tcW w:w="857" w:type="pct"/>
            <w:tcBorders>
              <w:top w:val="nil"/>
              <w:left w:val="nil"/>
              <w:bottom w:val="single" w:sz="8" w:space="0" w:color="auto"/>
              <w:right w:val="single" w:sz="8" w:space="0" w:color="auto"/>
            </w:tcBorders>
            <w:shd w:val="clear" w:color="000000" w:fill="E7E6E6"/>
            <w:noWrap/>
            <w:vAlign w:val="center"/>
            <w:hideMark/>
          </w:tcPr>
          <w:p w14:paraId="011E6A31"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14</w:t>
            </w:r>
          </w:p>
        </w:tc>
        <w:tc>
          <w:tcPr>
            <w:tcW w:w="725" w:type="pct"/>
            <w:tcBorders>
              <w:top w:val="nil"/>
              <w:left w:val="nil"/>
              <w:bottom w:val="single" w:sz="8" w:space="0" w:color="auto"/>
              <w:right w:val="single" w:sz="8" w:space="0" w:color="auto"/>
            </w:tcBorders>
            <w:shd w:val="clear" w:color="000000" w:fill="E7E6E6"/>
            <w:noWrap/>
            <w:vAlign w:val="center"/>
            <w:hideMark/>
          </w:tcPr>
          <w:p w14:paraId="06DC9140"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10</w:t>
            </w:r>
          </w:p>
        </w:tc>
        <w:tc>
          <w:tcPr>
            <w:tcW w:w="950" w:type="pct"/>
            <w:tcBorders>
              <w:top w:val="nil"/>
              <w:left w:val="nil"/>
              <w:bottom w:val="single" w:sz="8" w:space="0" w:color="auto"/>
              <w:right w:val="single" w:sz="8" w:space="0" w:color="auto"/>
            </w:tcBorders>
            <w:shd w:val="clear" w:color="000000" w:fill="E7E6E6"/>
            <w:noWrap/>
            <w:vAlign w:val="center"/>
            <w:hideMark/>
          </w:tcPr>
          <w:p w14:paraId="56BD079C" w14:textId="77777777" w:rsidR="00D71B07" w:rsidRPr="00D71B07" w:rsidRDefault="00D71B07" w:rsidP="00D71B07">
            <w:pPr>
              <w:spacing w:after="200" w:line="276" w:lineRule="auto"/>
              <w:jc w:val="both"/>
              <w:rPr>
                <w:rFonts w:eastAsia="Calibri"/>
                <w:b/>
                <w:bCs/>
                <w:szCs w:val="24"/>
              </w:rPr>
            </w:pPr>
            <w:r w:rsidRPr="00D71B07">
              <w:rPr>
                <w:rFonts w:eastAsia="Calibri"/>
                <w:b/>
                <w:bCs/>
                <w:szCs w:val="24"/>
              </w:rPr>
              <w:t>53</w:t>
            </w:r>
          </w:p>
        </w:tc>
      </w:tr>
    </w:tbl>
    <w:p w14:paraId="3CE64CD8" w14:textId="77777777" w:rsidR="00D71B07" w:rsidRPr="00D71B07" w:rsidRDefault="00D71B07" w:rsidP="00D71B07">
      <w:pPr>
        <w:spacing w:after="200" w:line="276" w:lineRule="auto"/>
        <w:jc w:val="both"/>
        <w:rPr>
          <w:rFonts w:eastAsia="Calibri"/>
          <w:szCs w:val="24"/>
        </w:rPr>
      </w:pPr>
    </w:p>
    <w:p w14:paraId="6A1EDB80" w14:textId="77777777" w:rsidR="00D71B07" w:rsidRPr="00D71B07" w:rsidRDefault="00D71B07" w:rsidP="00D71B07">
      <w:pPr>
        <w:spacing w:after="200" w:line="276" w:lineRule="auto"/>
        <w:jc w:val="both"/>
        <w:rPr>
          <w:rFonts w:eastAsia="Calibri"/>
          <w:szCs w:val="24"/>
        </w:rPr>
      </w:pPr>
      <w:r w:rsidRPr="00D71B07">
        <w:rPr>
          <w:rFonts w:eastAsia="Calibri"/>
          <w:szCs w:val="24"/>
        </w:rPr>
        <w:t xml:space="preserve">Les objectifs spécifiques de l’ EIES sont de : </w:t>
      </w:r>
    </w:p>
    <w:p w14:paraId="3CD79FF5" w14:textId="77777777" w:rsidR="00D71B07" w:rsidRPr="00D71B07" w:rsidRDefault="00D71B07" w:rsidP="00D71B07">
      <w:pPr>
        <w:numPr>
          <w:ilvl w:val="0"/>
          <w:numId w:val="13"/>
        </w:numPr>
        <w:spacing w:after="200" w:line="276" w:lineRule="auto"/>
        <w:jc w:val="both"/>
        <w:rPr>
          <w:rFonts w:eastAsia="Calibri"/>
          <w:szCs w:val="24"/>
        </w:rPr>
      </w:pPr>
      <w:r w:rsidRPr="00D71B07">
        <w:rPr>
          <w:rFonts w:eastAsia="Calibri"/>
          <w:szCs w:val="24"/>
        </w:rPr>
        <w:t>Décrire l’état initial sur le plan social et environnemental de chaque site d’accueil des infrastructures à réaliser ;</w:t>
      </w:r>
    </w:p>
    <w:p w14:paraId="37204768" w14:textId="77777777" w:rsidR="00D71B07" w:rsidRPr="00D71B07" w:rsidRDefault="00D71B07" w:rsidP="00D71B07">
      <w:pPr>
        <w:numPr>
          <w:ilvl w:val="0"/>
          <w:numId w:val="13"/>
        </w:numPr>
        <w:spacing w:after="200" w:line="276" w:lineRule="auto"/>
        <w:jc w:val="both"/>
        <w:rPr>
          <w:rFonts w:eastAsia="Calibri"/>
          <w:szCs w:val="24"/>
        </w:rPr>
      </w:pPr>
      <w:r w:rsidRPr="00D71B07">
        <w:rPr>
          <w:rFonts w:eastAsia="Calibri"/>
          <w:szCs w:val="24"/>
        </w:rPr>
        <w:t>Analyser les cadres législatifs et institutionnels de gestion de l’environnement du projet ;</w:t>
      </w:r>
    </w:p>
    <w:p w14:paraId="6C602C9B" w14:textId="77777777" w:rsidR="00D71B07" w:rsidRPr="00D71B07" w:rsidRDefault="00D71B07" w:rsidP="00D71B07">
      <w:pPr>
        <w:numPr>
          <w:ilvl w:val="0"/>
          <w:numId w:val="13"/>
        </w:numPr>
        <w:spacing w:after="200" w:line="276" w:lineRule="auto"/>
        <w:jc w:val="both"/>
        <w:rPr>
          <w:rFonts w:eastAsia="Calibri"/>
          <w:szCs w:val="24"/>
        </w:rPr>
      </w:pPr>
      <w:r w:rsidRPr="00D71B07">
        <w:rPr>
          <w:rFonts w:eastAsia="Calibri"/>
          <w:szCs w:val="24"/>
        </w:rPr>
        <w:lastRenderedPageBreak/>
        <w:t>Identifier les enjeux environnementaux et sociaux en présence sur chaque site ;</w:t>
      </w:r>
    </w:p>
    <w:p w14:paraId="409C2F9E" w14:textId="77777777" w:rsidR="00D71B07" w:rsidRPr="00D71B07" w:rsidRDefault="00D71B07" w:rsidP="00D71B07">
      <w:pPr>
        <w:numPr>
          <w:ilvl w:val="0"/>
          <w:numId w:val="13"/>
        </w:numPr>
        <w:spacing w:after="200" w:line="276" w:lineRule="auto"/>
        <w:jc w:val="both"/>
        <w:rPr>
          <w:rFonts w:eastAsia="Calibri"/>
          <w:szCs w:val="24"/>
        </w:rPr>
      </w:pPr>
      <w:r w:rsidRPr="00D71B07">
        <w:rPr>
          <w:rFonts w:eastAsia="Calibri"/>
          <w:szCs w:val="24"/>
        </w:rPr>
        <w:t xml:space="preserve">Décrire la situation actuelle, le niveau d’occupation et les statuts des sites destinés à accueillir les infrastructures concernées ;  </w:t>
      </w:r>
    </w:p>
    <w:p w14:paraId="42DB9D3C" w14:textId="77777777" w:rsidR="00D71B07" w:rsidRPr="00D71B07" w:rsidRDefault="00D71B07" w:rsidP="00D71B07">
      <w:pPr>
        <w:numPr>
          <w:ilvl w:val="0"/>
          <w:numId w:val="13"/>
        </w:numPr>
        <w:spacing w:after="200" w:line="276" w:lineRule="auto"/>
        <w:jc w:val="both"/>
        <w:rPr>
          <w:rFonts w:eastAsia="Calibri"/>
          <w:szCs w:val="24"/>
        </w:rPr>
      </w:pPr>
      <w:r w:rsidRPr="00D71B07">
        <w:rPr>
          <w:rFonts w:eastAsia="Calibri"/>
          <w:szCs w:val="24"/>
        </w:rPr>
        <w:t xml:space="preserve">Identifier les risques/effets et évaluer les impacts potentiels sociaux et environnementaux qu’engendreront les travaux ; </w:t>
      </w:r>
    </w:p>
    <w:p w14:paraId="7E2BE2A8" w14:textId="77777777" w:rsidR="00D71B07" w:rsidRPr="00D71B07" w:rsidRDefault="00D71B07" w:rsidP="00D71B07">
      <w:pPr>
        <w:numPr>
          <w:ilvl w:val="0"/>
          <w:numId w:val="13"/>
        </w:numPr>
        <w:spacing w:after="200" w:line="276" w:lineRule="auto"/>
        <w:jc w:val="both"/>
        <w:rPr>
          <w:rFonts w:eastAsia="Calibri"/>
          <w:szCs w:val="24"/>
        </w:rPr>
      </w:pPr>
      <w:r w:rsidRPr="00D71B07">
        <w:rPr>
          <w:rFonts w:eastAsia="Calibri"/>
          <w:szCs w:val="24"/>
        </w:rPr>
        <w:t xml:space="preserve">Faire une synthèse des attentes et préoccupation des acteurs impliqués et des populations bénéficiaires ; </w:t>
      </w:r>
    </w:p>
    <w:p w14:paraId="74A33B64" w14:textId="77777777" w:rsidR="00D71B07" w:rsidRPr="00D71B07" w:rsidRDefault="00D71B07" w:rsidP="00D71B07">
      <w:pPr>
        <w:numPr>
          <w:ilvl w:val="0"/>
          <w:numId w:val="13"/>
        </w:numPr>
        <w:spacing w:after="200" w:line="276" w:lineRule="auto"/>
        <w:jc w:val="both"/>
        <w:rPr>
          <w:rFonts w:eastAsia="Calibri"/>
          <w:szCs w:val="24"/>
        </w:rPr>
      </w:pPr>
      <w:r w:rsidRPr="00D71B07">
        <w:rPr>
          <w:rFonts w:eastAsia="Calibri"/>
          <w:szCs w:val="24"/>
        </w:rPr>
        <w:t>Proposer des mesures d’atténuation des impacts identifiés et évalués ;</w:t>
      </w:r>
    </w:p>
    <w:p w14:paraId="352A6EFA" w14:textId="77777777" w:rsidR="00D71B07" w:rsidRPr="00D71B07" w:rsidRDefault="00D71B07" w:rsidP="00D71B07">
      <w:pPr>
        <w:numPr>
          <w:ilvl w:val="0"/>
          <w:numId w:val="13"/>
        </w:numPr>
        <w:spacing w:after="200" w:line="276" w:lineRule="auto"/>
        <w:jc w:val="both"/>
        <w:rPr>
          <w:rFonts w:eastAsia="Calibri"/>
          <w:szCs w:val="24"/>
        </w:rPr>
      </w:pPr>
      <w:bookmarkStart w:id="2" w:name="_Hlk75421467"/>
      <w:r w:rsidRPr="00D71B07">
        <w:rPr>
          <w:rFonts w:eastAsia="Calibri"/>
          <w:szCs w:val="24"/>
        </w:rPr>
        <w:t>Proposer des améliorations du design du projet pour bonifier les impacts positifs ; et anticiper/éviter, minimiser/réduire, atténuer ou compenser/neutraliser les impacts négatifs potentiels ;</w:t>
      </w:r>
    </w:p>
    <w:bookmarkEnd w:id="2"/>
    <w:p w14:paraId="37F04C34" w14:textId="77777777" w:rsidR="00D71B07" w:rsidRPr="00D71B07" w:rsidRDefault="00D71B07" w:rsidP="00D71B07">
      <w:pPr>
        <w:numPr>
          <w:ilvl w:val="0"/>
          <w:numId w:val="13"/>
        </w:numPr>
        <w:spacing w:after="200" w:line="276" w:lineRule="auto"/>
        <w:jc w:val="both"/>
        <w:rPr>
          <w:rFonts w:eastAsia="Calibri"/>
          <w:szCs w:val="24"/>
        </w:rPr>
      </w:pPr>
      <w:r w:rsidRPr="00D71B07">
        <w:rPr>
          <w:rFonts w:eastAsia="Calibri"/>
          <w:szCs w:val="24"/>
        </w:rPr>
        <w:t>Élaborer un plan de gestion environnemental et social comprenant toutes les mesures environnementales et sociales préconisées, le suivi et la surveillance, les indicateurs et un budget ;</w:t>
      </w:r>
    </w:p>
    <w:p w14:paraId="18A84980" w14:textId="02E0F14A" w:rsidR="00D71B07" w:rsidRPr="00D71B07" w:rsidRDefault="00D71B07" w:rsidP="00D71B07">
      <w:pPr>
        <w:numPr>
          <w:ilvl w:val="0"/>
          <w:numId w:val="13"/>
        </w:numPr>
        <w:spacing w:after="200" w:line="276" w:lineRule="auto"/>
        <w:jc w:val="both"/>
        <w:rPr>
          <w:rFonts w:eastAsia="Calibri"/>
          <w:szCs w:val="24"/>
        </w:rPr>
      </w:pPr>
      <w:r w:rsidRPr="00D71B07">
        <w:rPr>
          <w:rFonts w:eastAsia="Calibri"/>
          <w:szCs w:val="24"/>
        </w:rPr>
        <w:t xml:space="preserve">Analyser l’état des lieux en termes de survenance, de prévention et de gestion des cas de VBG/EAS/HS ainsi que les risques associés au projet susceptible de donner à ces phénomènes dans la zone du projet. </w:t>
      </w:r>
    </w:p>
    <w:p w14:paraId="73EC65D5" w14:textId="4BE61CA1" w:rsidR="00D71B07" w:rsidRPr="00D71B07" w:rsidRDefault="00D71B07" w:rsidP="00D71B07">
      <w:pPr>
        <w:pStyle w:val="Paragraphedeliste"/>
        <w:numPr>
          <w:ilvl w:val="0"/>
          <w:numId w:val="14"/>
        </w:numPr>
        <w:spacing w:after="200" w:line="276" w:lineRule="auto"/>
        <w:ind w:left="0"/>
        <w:rPr>
          <w:bCs/>
        </w:rPr>
      </w:pPr>
      <w:r w:rsidRPr="008F7187">
        <w:rPr>
          <w:bCs/>
        </w:rPr>
        <w:t xml:space="preserve">L’Unité de Gestion du PDAZAM </w:t>
      </w:r>
      <w:r w:rsidRPr="00D71B07">
        <w:rPr>
          <w:bCs/>
        </w:rPr>
        <w:t xml:space="preserve">invite les firmes de Consultants (« Consultants ») à manifester leur intérêt à fournir les services décrits ci-dessus. Les Consultants intéressés doivent fournir les informations démontrant qu’ils possèdent les qualifications requises et une expérience pertinente pour l’exécution des Services. Les critères pour l’établissement de la liste </w:t>
      </w:r>
      <w:r w:rsidR="002044C3">
        <w:rPr>
          <w:bCs/>
        </w:rPr>
        <w:t>de candidats</w:t>
      </w:r>
      <w:r w:rsidR="002044C3" w:rsidRPr="002044C3">
        <w:rPr>
          <w:bCs/>
        </w:rPr>
        <w:t xml:space="preserve"> qui présente</w:t>
      </w:r>
      <w:r w:rsidR="002044C3">
        <w:rPr>
          <w:bCs/>
        </w:rPr>
        <w:t>nt</w:t>
      </w:r>
      <w:r w:rsidR="002044C3" w:rsidRPr="002044C3">
        <w:rPr>
          <w:bCs/>
        </w:rPr>
        <w:t xml:space="preserve"> le meilleur niveau de qualifications et d’expérience en rapport avec la mission </w:t>
      </w:r>
      <w:r w:rsidRPr="00D71B07">
        <w:rPr>
          <w:bCs/>
        </w:rPr>
        <w:t xml:space="preserve">sont : </w:t>
      </w:r>
    </w:p>
    <w:p w14:paraId="4F0BA426" w14:textId="77777777" w:rsidR="00D71B07" w:rsidRPr="009438D3" w:rsidRDefault="00D71B07" w:rsidP="00D71B07">
      <w:pPr>
        <w:numPr>
          <w:ilvl w:val="0"/>
          <w:numId w:val="3"/>
        </w:numPr>
        <w:jc w:val="both"/>
        <w:rPr>
          <w:color w:val="FF0000"/>
        </w:rPr>
      </w:pPr>
      <w:r w:rsidRPr="009438D3">
        <w:rPr>
          <w:bCs/>
          <w:color w:val="000000"/>
        </w:rPr>
        <w:t xml:space="preserve">Expérience dans le domaine de la mission, </w:t>
      </w:r>
    </w:p>
    <w:p w14:paraId="0CA524BE" w14:textId="77777777" w:rsidR="00D71B07" w:rsidRPr="009438D3" w:rsidRDefault="00D71B07" w:rsidP="00D71B07">
      <w:pPr>
        <w:numPr>
          <w:ilvl w:val="0"/>
          <w:numId w:val="3"/>
        </w:numPr>
        <w:jc w:val="both"/>
        <w:rPr>
          <w:color w:val="FF0000"/>
        </w:rPr>
      </w:pPr>
      <w:r w:rsidRPr="009438D3">
        <w:rPr>
          <w:bCs/>
          <w:color w:val="000000"/>
        </w:rPr>
        <w:t xml:space="preserve">Exécution de contrats similaires, </w:t>
      </w:r>
    </w:p>
    <w:p w14:paraId="367F45D2" w14:textId="77777777" w:rsidR="00D71B07" w:rsidRPr="009438D3" w:rsidRDefault="00D71B07" w:rsidP="002044C3">
      <w:pPr>
        <w:numPr>
          <w:ilvl w:val="0"/>
          <w:numId w:val="3"/>
        </w:numPr>
        <w:spacing w:after="240"/>
        <w:ind w:left="714" w:hanging="357"/>
        <w:jc w:val="both"/>
        <w:rPr>
          <w:bCs/>
          <w:color w:val="000000"/>
        </w:rPr>
      </w:pPr>
      <w:r>
        <w:rPr>
          <w:bCs/>
          <w:color w:val="000000"/>
        </w:rPr>
        <w:t>Exécution de contrat dans la Zone du projet</w:t>
      </w:r>
      <w:r w:rsidRPr="009438D3">
        <w:rPr>
          <w:bCs/>
          <w:color w:val="000000"/>
        </w:rPr>
        <w:t>.</w:t>
      </w:r>
    </w:p>
    <w:p w14:paraId="04F41F51" w14:textId="77777777" w:rsidR="002044C3" w:rsidRPr="00EA6347" w:rsidRDefault="002044C3" w:rsidP="002044C3">
      <w:pPr>
        <w:pStyle w:val="Paragraphedeliste"/>
        <w:numPr>
          <w:ilvl w:val="0"/>
          <w:numId w:val="14"/>
        </w:numPr>
        <w:spacing w:after="200" w:line="276" w:lineRule="auto"/>
        <w:ind w:left="0"/>
        <w:rPr>
          <w:bCs/>
          <w:color w:val="000000"/>
        </w:rPr>
      </w:pPr>
      <w:r w:rsidRPr="00EA6347">
        <w:rPr>
          <w:bCs/>
        </w:rPr>
        <w:t xml:space="preserve">Les Consultants seront notés sur 100 points et les dossiers seront analysés sur la base des critères suivants : </w:t>
      </w:r>
    </w:p>
    <w:p w14:paraId="246211BD" w14:textId="0A954395" w:rsidR="002044C3" w:rsidRPr="00EA6347" w:rsidRDefault="002044C3" w:rsidP="002044C3">
      <w:pPr>
        <w:ind w:left="720"/>
        <w:jc w:val="both"/>
      </w:pPr>
      <w:r w:rsidRPr="00EA6347">
        <w:rPr>
          <w:b/>
        </w:rPr>
        <w:t>*Critère 1</w:t>
      </w:r>
      <w:r w:rsidRPr="00EA6347">
        <w:t> : l’expérience générale du consultant en rapport avec la mission ; en nombre d’année d’existence du consultant (</w:t>
      </w:r>
      <w:r>
        <w:t>maximum</w:t>
      </w:r>
      <w:r w:rsidRPr="00EA6347">
        <w:t xml:space="preserve"> de </w:t>
      </w:r>
      <w:r>
        <w:t>4</w:t>
      </w:r>
      <w:r w:rsidRPr="00EA6347">
        <w:t>0 points à raison de 3,0 points par année d’expérience)</w:t>
      </w:r>
    </w:p>
    <w:p w14:paraId="614F32AF" w14:textId="0DE5495A" w:rsidR="002044C3" w:rsidRPr="00EA6347" w:rsidRDefault="002044C3" w:rsidP="002044C3">
      <w:pPr>
        <w:ind w:left="720"/>
        <w:jc w:val="both"/>
      </w:pPr>
      <w:r w:rsidRPr="00EA6347">
        <w:t>*</w:t>
      </w:r>
      <w:r w:rsidRPr="00EA6347">
        <w:rPr>
          <w:b/>
        </w:rPr>
        <w:t>Critère 2</w:t>
      </w:r>
      <w:r w:rsidRPr="00EA6347">
        <w:t> : l’expérience pertinente du consultant en rapport avec la mission ; en nombre de missions similaires réalisées dûment justifiées par des certificats de bonnes fin (</w:t>
      </w:r>
      <w:r>
        <w:t>maximum</w:t>
      </w:r>
      <w:r w:rsidRPr="00EA6347">
        <w:t xml:space="preserve"> de </w:t>
      </w:r>
      <w:r>
        <w:t>5</w:t>
      </w:r>
      <w:r w:rsidRPr="00EA6347">
        <w:t>0 points à raison de 5 points par mission réalisée) ;</w:t>
      </w:r>
    </w:p>
    <w:p w14:paraId="3658582A" w14:textId="303BB6E5" w:rsidR="002044C3" w:rsidRPr="00EA6347" w:rsidRDefault="002044C3" w:rsidP="002044C3">
      <w:pPr>
        <w:ind w:left="720"/>
        <w:jc w:val="both"/>
      </w:pPr>
      <w:r w:rsidRPr="00EA6347">
        <w:t>*</w:t>
      </w:r>
      <w:r w:rsidRPr="00EA6347">
        <w:rPr>
          <w:b/>
        </w:rPr>
        <w:t>Critère 3</w:t>
      </w:r>
      <w:r w:rsidRPr="00EA6347">
        <w:t xml:space="preserve"> : l’expérience du consultant </w:t>
      </w:r>
      <w:r>
        <w:t>dans les régions du Centre et du Nord du Mali affectées par la crise sécuritaire au cours des 10 dernières années</w:t>
      </w:r>
      <w:r w:rsidRPr="00EA6347">
        <w:t> ; en nombre de missions réalisées dûment justifiées par des certificats de bonnes fin (</w:t>
      </w:r>
      <w:r>
        <w:t>maximum</w:t>
      </w:r>
      <w:r w:rsidRPr="00EA6347">
        <w:t xml:space="preserve"> 10 points à raison de </w:t>
      </w:r>
      <w:r w:rsidR="008E7977">
        <w:t>3</w:t>
      </w:r>
      <w:r w:rsidRPr="00EA6347">
        <w:t xml:space="preserve"> points par </w:t>
      </w:r>
      <w:r>
        <w:t>mission</w:t>
      </w:r>
      <w:r w:rsidRPr="00EA6347">
        <w:t xml:space="preserve">). </w:t>
      </w:r>
    </w:p>
    <w:p w14:paraId="3CE281E6" w14:textId="763B0F02" w:rsidR="00F20660" w:rsidRPr="008F7187" w:rsidRDefault="002044C3" w:rsidP="002044C3">
      <w:pPr>
        <w:ind w:left="720"/>
        <w:jc w:val="both"/>
        <w:rPr>
          <w:bCs/>
          <w:color w:val="000000"/>
        </w:rPr>
      </w:pPr>
      <w:r w:rsidRPr="00EA6347">
        <w:lastRenderedPageBreak/>
        <w:t xml:space="preserve">NB : </w:t>
      </w:r>
      <w:r w:rsidRPr="00EA6347">
        <w:rPr>
          <w:i/>
        </w:rPr>
        <w:t>Les références fournies par les consultants doivent être accompagnées obligatoirement par des attestations de bonne exécution</w:t>
      </w:r>
      <w:r>
        <w:rPr>
          <w:i/>
        </w:rPr>
        <w:t xml:space="preserve"> (ou tout document similaire attestant la bonne réalisation de la mission)</w:t>
      </w:r>
      <w:r w:rsidRPr="00EA6347">
        <w:rPr>
          <w:i/>
        </w:rPr>
        <w:t xml:space="preserve">. Toute référence non accompagnée par une attestation de bonne </w:t>
      </w:r>
      <w:r>
        <w:rPr>
          <w:i/>
        </w:rPr>
        <w:t xml:space="preserve"> </w:t>
      </w:r>
      <w:r w:rsidRPr="00EA6347">
        <w:rPr>
          <w:i/>
        </w:rPr>
        <w:t xml:space="preserve">exécution </w:t>
      </w:r>
      <w:r>
        <w:rPr>
          <w:i/>
        </w:rPr>
        <w:t xml:space="preserve">(ou documents similaire) </w:t>
      </w:r>
      <w:r w:rsidRPr="00EA6347">
        <w:rPr>
          <w:i/>
        </w:rPr>
        <w:t>ne sera pas prise en compte</w:t>
      </w:r>
      <w:r w:rsidRPr="00EA6347">
        <w:t>.</w:t>
      </w:r>
    </w:p>
    <w:p w14:paraId="302DDD9A" w14:textId="77777777" w:rsidR="00EC6594" w:rsidRPr="008F7187" w:rsidRDefault="00EC6594" w:rsidP="00D71B07">
      <w:pPr>
        <w:pStyle w:val="Paragraphedeliste"/>
        <w:numPr>
          <w:ilvl w:val="0"/>
          <w:numId w:val="14"/>
        </w:numPr>
        <w:spacing w:after="200" w:line="276" w:lineRule="auto"/>
        <w:ind w:left="0"/>
      </w:pPr>
      <w:r w:rsidRPr="00D71B07">
        <w:rPr>
          <w:bCs/>
        </w:rPr>
        <w:t>Il</w:t>
      </w:r>
      <w:r w:rsidRPr="008F7187">
        <w:t xml:space="preserve"> est porté à l’attention des Consultants que les dispositions de la clause 3.15 d) du « Règlement de Passation des Marchés pour les Emprunteurs sollicitant le Financement de Projets (FPI) » datées de Juillet 2016 relatives aux règles de la Banque mondiale en matière de conflit d’intérêts sont applicables. </w:t>
      </w:r>
    </w:p>
    <w:p w14:paraId="483880EC" w14:textId="122D7B0F" w:rsidR="00363D46" w:rsidRPr="008F7187" w:rsidRDefault="00363D46" w:rsidP="00EC6594">
      <w:pPr>
        <w:pStyle w:val="Paragraphedeliste"/>
        <w:spacing w:line="276" w:lineRule="auto"/>
        <w:ind w:left="360" w:right="72"/>
        <w:jc w:val="both"/>
        <w:rPr>
          <w:szCs w:val="24"/>
        </w:rPr>
      </w:pPr>
      <w:r w:rsidRPr="008F7187">
        <w:rPr>
          <w:szCs w:val="24"/>
        </w:rPr>
        <w:t xml:space="preserve"> </w:t>
      </w:r>
    </w:p>
    <w:p w14:paraId="3AB6BD32" w14:textId="77777777" w:rsidR="009438D3" w:rsidRPr="008F7187" w:rsidRDefault="009438D3" w:rsidP="00D71B07">
      <w:pPr>
        <w:pStyle w:val="Paragraphedeliste"/>
        <w:numPr>
          <w:ilvl w:val="0"/>
          <w:numId w:val="14"/>
        </w:numPr>
        <w:spacing w:after="200" w:line="276" w:lineRule="auto"/>
        <w:ind w:left="0"/>
      </w:pPr>
      <w:r w:rsidRPr="008F7187">
        <w:t>Les Consultants peuvent s’associer avec d’autres pour renforcer leurs compétences respectives en la forme d’un groupement solidaire ou d’un accord de sous-traitant.</w:t>
      </w:r>
    </w:p>
    <w:p w14:paraId="0F84EA61" w14:textId="77777777" w:rsidR="00363D46" w:rsidRPr="00331620" w:rsidRDefault="00363D46" w:rsidP="008F7187">
      <w:pPr>
        <w:spacing w:line="276" w:lineRule="auto"/>
        <w:jc w:val="both"/>
        <w:rPr>
          <w:szCs w:val="24"/>
        </w:rPr>
      </w:pPr>
    </w:p>
    <w:p w14:paraId="79203C17" w14:textId="0E6E358D" w:rsidR="009438D3" w:rsidRPr="00331620" w:rsidRDefault="00363D46" w:rsidP="00D71B07">
      <w:pPr>
        <w:pStyle w:val="Paragraphedeliste"/>
        <w:numPr>
          <w:ilvl w:val="0"/>
          <w:numId w:val="14"/>
        </w:numPr>
        <w:spacing w:after="200" w:line="276" w:lineRule="auto"/>
        <w:ind w:left="0"/>
        <w:rPr>
          <w:szCs w:val="24"/>
        </w:rPr>
      </w:pPr>
      <w:r w:rsidRPr="00331620">
        <w:rPr>
          <w:szCs w:val="24"/>
        </w:rPr>
        <w:t xml:space="preserve">Le Consultant sera sélectionné selon la méthode </w:t>
      </w:r>
      <w:r w:rsidR="00EA6347" w:rsidRPr="00331620">
        <w:rPr>
          <w:bCs/>
        </w:rPr>
        <w:t>« </w:t>
      </w:r>
      <w:r w:rsidR="007073B3" w:rsidRPr="007073B3">
        <w:rPr>
          <w:bCs/>
        </w:rPr>
        <w:t>Sélection fondée sur les qualifications des consultants</w:t>
      </w:r>
      <w:r w:rsidR="007073B3">
        <w:rPr>
          <w:bCs/>
        </w:rPr>
        <w:t xml:space="preserve"> (QC)</w:t>
      </w:r>
      <w:r w:rsidR="00EA6347" w:rsidRPr="00331620">
        <w:rPr>
          <w:bCs/>
        </w:rPr>
        <w:t> » telle que décrite dans le « Règlement de Passation des Marchés pour les Emprunteurs sollicitant le Financement de Projets (FPI) » de la Banque Mondiale de juillet 2016</w:t>
      </w:r>
      <w:r w:rsidRPr="00331620">
        <w:rPr>
          <w:szCs w:val="24"/>
        </w:rPr>
        <w:t xml:space="preserve">. </w:t>
      </w:r>
    </w:p>
    <w:p w14:paraId="60E6F46C" w14:textId="77777777" w:rsidR="00E05898" w:rsidRPr="008F7187" w:rsidRDefault="00E05898" w:rsidP="008F7187">
      <w:pPr>
        <w:pStyle w:val="Paragraphedeliste"/>
        <w:tabs>
          <w:tab w:val="left" w:pos="567"/>
        </w:tabs>
        <w:spacing w:line="276" w:lineRule="auto"/>
        <w:ind w:left="360"/>
        <w:jc w:val="both"/>
        <w:rPr>
          <w:szCs w:val="24"/>
        </w:rPr>
      </w:pPr>
    </w:p>
    <w:p w14:paraId="64AE28AD" w14:textId="3733957A" w:rsidR="00363D46" w:rsidRPr="008F7187" w:rsidRDefault="00363D46" w:rsidP="00D71B07">
      <w:pPr>
        <w:pStyle w:val="Paragraphedeliste"/>
        <w:numPr>
          <w:ilvl w:val="0"/>
          <w:numId w:val="14"/>
        </w:numPr>
        <w:spacing w:after="200" w:line="276" w:lineRule="auto"/>
        <w:ind w:left="0"/>
        <w:rPr>
          <w:szCs w:val="24"/>
        </w:rPr>
      </w:pPr>
      <w:r w:rsidRPr="008F7187">
        <w:rPr>
          <w:szCs w:val="24"/>
        </w:rPr>
        <w:t>Les Consultants intéressés peuvent obtenir des informations supplémentaires à l’adresse ci-dessous et aux heures suivantes : tous les jours ouvrables de 8 heures 30 mn à 1</w:t>
      </w:r>
      <w:r w:rsidR="007073B3">
        <w:rPr>
          <w:szCs w:val="24"/>
        </w:rPr>
        <w:t>4</w:t>
      </w:r>
      <w:r w:rsidRPr="008F7187">
        <w:rPr>
          <w:szCs w:val="24"/>
        </w:rPr>
        <w:t xml:space="preserve"> heures 30 mn.</w:t>
      </w:r>
    </w:p>
    <w:p w14:paraId="085B6B76" w14:textId="77777777" w:rsidR="00363D46" w:rsidRPr="008F7187" w:rsidRDefault="00363D46" w:rsidP="008F7187">
      <w:pPr>
        <w:spacing w:line="276" w:lineRule="auto"/>
        <w:jc w:val="both"/>
        <w:rPr>
          <w:szCs w:val="24"/>
        </w:rPr>
      </w:pPr>
    </w:p>
    <w:p w14:paraId="363655F3" w14:textId="40F9ADA3" w:rsidR="00363D46" w:rsidRPr="00331620" w:rsidRDefault="00363D46" w:rsidP="00D71B07">
      <w:pPr>
        <w:pStyle w:val="Paragraphedeliste"/>
        <w:numPr>
          <w:ilvl w:val="0"/>
          <w:numId w:val="14"/>
        </w:numPr>
        <w:spacing w:after="200" w:line="276" w:lineRule="auto"/>
        <w:ind w:left="0"/>
        <w:rPr>
          <w:szCs w:val="24"/>
        </w:rPr>
      </w:pPr>
      <w:r w:rsidRPr="008F7187">
        <w:rPr>
          <w:szCs w:val="24"/>
        </w:rPr>
        <w:t xml:space="preserve">Les manifestations d’intérêt écrites doivent être déposées à l’adresse ci-dessous en </w:t>
      </w:r>
      <w:r w:rsidRPr="00331620">
        <w:rPr>
          <w:szCs w:val="24"/>
        </w:rPr>
        <w:t>personne ou par courrier électronique (en fichier non modifiable) au plus tard</w:t>
      </w:r>
      <w:r w:rsidR="00FD4BC9">
        <w:rPr>
          <w:szCs w:val="24"/>
        </w:rPr>
        <w:t xml:space="preserve"> le</w:t>
      </w:r>
      <w:r w:rsidRPr="00331620">
        <w:rPr>
          <w:szCs w:val="24"/>
        </w:rPr>
        <w:t xml:space="preserve"> </w:t>
      </w:r>
      <w:r w:rsidR="008E7977">
        <w:rPr>
          <w:b/>
          <w:szCs w:val="24"/>
          <w:u w:val="single"/>
        </w:rPr>
        <w:t>12</w:t>
      </w:r>
      <w:r w:rsidR="00FD4BC9" w:rsidRPr="00D632E7">
        <w:rPr>
          <w:b/>
          <w:szCs w:val="24"/>
          <w:u w:val="single"/>
        </w:rPr>
        <w:t xml:space="preserve"> </w:t>
      </w:r>
      <w:r w:rsidR="008E7977">
        <w:rPr>
          <w:b/>
          <w:szCs w:val="24"/>
          <w:u w:val="single"/>
        </w:rPr>
        <w:t>octobre</w:t>
      </w:r>
      <w:r w:rsidR="00FD4BC9" w:rsidRPr="00D632E7">
        <w:rPr>
          <w:b/>
          <w:szCs w:val="24"/>
          <w:u w:val="single"/>
        </w:rPr>
        <w:t xml:space="preserve"> 2021</w:t>
      </w:r>
      <w:r w:rsidR="00FD4BC9" w:rsidRPr="00331620">
        <w:rPr>
          <w:szCs w:val="24"/>
        </w:rPr>
        <w:t xml:space="preserve"> </w:t>
      </w:r>
      <w:r w:rsidR="001A0483" w:rsidRPr="00331620">
        <w:rPr>
          <w:szCs w:val="24"/>
        </w:rPr>
        <w:t>à 1</w:t>
      </w:r>
      <w:r w:rsidR="00807594" w:rsidRPr="00331620">
        <w:rPr>
          <w:szCs w:val="24"/>
        </w:rPr>
        <w:t>0</w:t>
      </w:r>
      <w:r w:rsidR="001A0483" w:rsidRPr="00331620">
        <w:rPr>
          <w:szCs w:val="24"/>
        </w:rPr>
        <w:t xml:space="preserve"> heures précises</w:t>
      </w:r>
      <w:r w:rsidRPr="00331620">
        <w:rPr>
          <w:szCs w:val="24"/>
        </w:rPr>
        <w:t>.</w:t>
      </w:r>
    </w:p>
    <w:p w14:paraId="62F792E6" w14:textId="7343B1B2" w:rsidR="00363D46" w:rsidRPr="00331620" w:rsidRDefault="00807594" w:rsidP="00D71B07">
      <w:pPr>
        <w:pStyle w:val="Paragraphedeliste"/>
        <w:spacing w:after="200" w:line="276" w:lineRule="auto"/>
        <w:ind w:left="0"/>
        <w:rPr>
          <w:szCs w:val="24"/>
        </w:rPr>
      </w:pPr>
      <w:r w:rsidRPr="00331620">
        <w:rPr>
          <w:szCs w:val="24"/>
        </w:rPr>
        <w:t xml:space="preserve">Au Secrétariat </w:t>
      </w:r>
      <w:r w:rsidR="00363D46" w:rsidRPr="00331620">
        <w:rPr>
          <w:szCs w:val="24"/>
        </w:rPr>
        <w:t xml:space="preserve">de l’Unité </w:t>
      </w:r>
      <w:r w:rsidR="00D9720C" w:rsidRPr="00331620">
        <w:rPr>
          <w:szCs w:val="24"/>
        </w:rPr>
        <w:t xml:space="preserve">de Gestion </w:t>
      </w:r>
      <w:r w:rsidR="0071437A" w:rsidRPr="00331620">
        <w:rPr>
          <w:szCs w:val="24"/>
        </w:rPr>
        <w:t xml:space="preserve">du </w:t>
      </w:r>
      <w:r w:rsidR="00EA6347" w:rsidRPr="00331620">
        <w:rPr>
          <w:szCs w:val="24"/>
        </w:rPr>
        <w:t xml:space="preserve">PDAZAM </w:t>
      </w:r>
      <w:r w:rsidR="00363D46" w:rsidRPr="00331620">
        <w:rPr>
          <w:szCs w:val="24"/>
        </w:rPr>
        <w:t xml:space="preserve">sise à Hamdallaye ACI 2000, Rue </w:t>
      </w:r>
      <w:r w:rsidR="00EA6347" w:rsidRPr="00331620">
        <w:rPr>
          <w:szCs w:val="24"/>
        </w:rPr>
        <w:t>284</w:t>
      </w:r>
      <w:r w:rsidR="0071437A" w:rsidRPr="00331620">
        <w:rPr>
          <w:szCs w:val="24"/>
        </w:rPr>
        <w:t xml:space="preserve"> Bamako</w:t>
      </w:r>
      <w:r w:rsidR="00363D46" w:rsidRPr="00331620">
        <w:rPr>
          <w:szCs w:val="24"/>
        </w:rPr>
        <w:t xml:space="preserve"> Mali</w:t>
      </w:r>
      <w:r w:rsidR="009438D3" w:rsidRPr="00331620">
        <w:rPr>
          <w:szCs w:val="24"/>
        </w:rPr>
        <w:t xml:space="preserve"> ; </w:t>
      </w:r>
      <w:r w:rsidR="00363D46" w:rsidRPr="00331620">
        <w:rPr>
          <w:szCs w:val="24"/>
        </w:rPr>
        <w:t xml:space="preserve">Numéro de téléphone : (+223) </w:t>
      </w:r>
      <w:r w:rsidR="007073B3">
        <w:rPr>
          <w:szCs w:val="24"/>
        </w:rPr>
        <w:t>20 22 26 96</w:t>
      </w:r>
      <w:r w:rsidR="008E7977">
        <w:rPr>
          <w:szCs w:val="24"/>
        </w:rPr>
        <w:t> ; 66 78 76 31</w:t>
      </w:r>
    </w:p>
    <w:p w14:paraId="4ECB6A14" w14:textId="652496F5" w:rsidR="00363D46" w:rsidRPr="00331620" w:rsidRDefault="00363D46" w:rsidP="008F7187">
      <w:pPr>
        <w:pStyle w:val="Paragraphedeliste"/>
        <w:tabs>
          <w:tab w:val="left" w:pos="567"/>
        </w:tabs>
        <w:spacing w:line="276" w:lineRule="auto"/>
        <w:ind w:left="360"/>
        <w:jc w:val="both"/>
      </w:pPr>
      <w:r w:rsidRPr="00331620">
        <w:rPr>
          <w:szCs w:val="24"/>
        </w:rPr>
        <w:t>Adresse électronique </w:t>
      </w:r>
      <w:r w:rsidR="00811F4A" w:rsidRPr="00331620">
        <w:rPr>
          <w:szCs w:val="24"/>
        </w:rPr>
        <w:t>:</w:t>
      </w:r>
      <w:r w:rsidR="00A37375" w:rsidRPr="00331620">
        <w:rPr>
          <w:szCs w:val="24"/>
        </w:rPr>
        <w:t xml:space="preserve"> </w:t>
      </w:r>
      <w:hyperlink r:id="rId10" w:history="1">
        <w:r w:rsidR="00EA6347" w:rsidRPr="00331620">
          <w:rPr>
            <w:rStyle w:val="Lienhypertexte"/>
            <w:color w:val="auto"/>
            <w:sz w:val="20"/>
            <w:lang w:val="fr-ML"/>
          </w:rPr>
          <w:t>pdazam@pdazam.org</w:t>
        </w:r>
      </w:hyperlink>
      <w:r w:rsidR="00A37375" w:rsidRPr="00331620">
        <w:rPr>
          <w:sz w:val="20"/>
          <w:lang w:val="fr-ML"/>
        </w:rPr>
        <w:t> </w:t>
      </w:r>
      <w:r w:rsidR="00A37375" w:rsidRPr="00331620">
        <w:t xml:space="preserve"> ; </w:t>
      </w:r>
      <w:hyperlink r:id="rId11" w:history="1">
        <w:r w:rsidR="00EA6347" w:rsidRPr="00331620">
          <w:rPr>
            <w:rStyle w:val="Lienhypertexte"/>
            <w:color w:val="auto"/>
            <w:szCs w:val="24"/>
          </w:rPr>
          <w:t>omsidibe@pdazam.org</w:t>
        </w:r>
      </w:hyperlink>
      <w:r w:rsidR="00EA6347" w:rsidRPr="00331620">
        <w:rPr>
          <w:szCs w:val="24"/>
        </w:rPr>
        <w:t xml:space="preserve"> </w:t>
      </w:r>
      <w:r w:rsidR="00A37375" w:rsidRPr="00331620">
        <w:rPr>
          <w:szCs w:val="24"/>
        </w:rPr>
        <w:t> ;</w:t>
      </w:r>
    </w:p>
    <w:p w14:paraId="6B16968E" w14:textId="77777777" w:rsidR="00A37375" w:rsidRPr="008F7187" w:rsidRDefault="00A37375" w:rsidP="009438D3">
      <w:pPr>
        <w:pStyle w:val="Paragraphedeliste"/>
        <w:tabs>
          <w:tab w:val="left" w:pos="567"/>
        </w:tabs>
        <w:ind w:left="360"/>
        <w:jc w:val="both"/>
        <w:rPr>
          <w:szCs w:val="24"/>
        </w:rPr>
      </w:pPr>
    </w:p>
    <w:p w14:paraId="6CB16A03" w14:textId="1AFFF12A" w:rsidR="008B0058" w:rsidRPr="007073B3" w:rsidRDefault="00D9720C" w:rsidP="00713724">
      <w:pPr>
        <w:pStyle w:val="Paragraphedeliste"/>
        <w:numPr>
          <w:ilvl w:val="0"/>
          <w:numId w:val="11"/>
        </w:numPr>
        <w:tabs>
          <w:tab w:val="left" w:pos="567"/>
        </w:tabs>
        <w:jc w:val="both"/>
        <w:rPr>
          <w:b/>
          <w:bCs/>
          <w:sz w:val="28"/>
          <w:szCs w:val="28"/>
        </w:rPr>
      </w:pPr>
      <w:r w:rsidRPr="007073B3">
        <w:rPr>
          <w:b/>
          <w:bCs/>
          <w:sz w:val="28"/>
          <w:szCs w:val="28"/>
        </w:rPr>
        <w:t>Les TDR sont disponibles à l’UG</w:t>
      </w:r>
      <w:r w:rsidR="00363D46" w:rsidRPr="007073B3">
        <w:rPr>
          <w:b/>
          <w:bCs/>
          <w:sz w:val="28"/>
          <w:szCs w:val="28"/>
        </w:rPr>
        <w:t>-</w:t>
      </w:r>
      <w:r w:rsidR="00D32721" w:rsidRPr="007073B3">
        <w:rPr>
          <w:b/>
          <w:bCs/>
          <w:sz w:val="28"/>
          <w:szCs w:val="28"/>
        </w:rPr>
        <w:t>PDAZAM</w:t>
      </w:r>
    </w:p>
    <w:p w14:paraId="063408BA" w14:textId="77777777" w:rsidR="00B90A0F" w:rsidRPr="0079274D" w:rsidRDefault="00B90A0F" w:rsidP="0079274D">
      <w:pPr>
        <w:tabs>
          <w:tab w:val="left" w:pos="567"/>
        </w:tabs>
        <w:rPr>
          <w:szCs w:val="24"/>
        </w:rPr>
      </w:pPr>
    </w:p>
    <w:p w14:paraId="153F8E88" w14:textId="45F0588E" w:rsidR="00B90A0F" w:rsidRPr="00331620" w:rsidRDefault="002152BA" w:rsidP="002152BA">
      <w:pPr>
        <w:pStyle w:val="Paragraphedeliste"/>
        <w:tabs>
          <w:tab w:val="left" w:pos="567"/>
        </w:tabs>
        <w:ind w:left="36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B90A0F" w:rsidRPr="00331620">
        <w:rPr>
          <w:szCs w:val="24"/>
        </w:rPr>
        <w:t xml:space="preserve">Bamako, </w:t>
      </w:r>
      <w:r w:rsidR="000C6D77" w:rsidRPr="00331620">
        <w:rPr>
          <w:szCs w:val="24"/>
        </w:rPr>
        <w:t xml:space="preserve">le </w:t>
      </w:r>
    </w:p>
    <w:p w14:paraId="544EAA68" w14:textId="77777777" w:rsidR="00B90A0F" w:rsidRPr="008F7187" w:rsidRDefault="00B90A0F" w:rsidP="00B90A0F">
      <w:pPr>
        <w:pStyle w:val="Paragraphedeliste"/>
        <w:tabs>
          <w:tab w:val="left" w:pos="567"/>
        </w:tabs>
        <w:ind w:left="360"/>
        <w:jc w:val="right"/>
        <w:rPr>
          <w:szCs w:val="24"/>
        </w:rPr>
      </w:pPr>
    </w:p>
    <w:p w14:paraId="6BFB90DE" w14:textId="6401403B" w:rsidR="00B90A0F" w:rsidRPr="008F7187" w:rsidRDefault="007073B3" w:rsidP="002152BA">
      <w:pPr>
        <w:pStyle w:val="Paragraphedeliste"/>
        <w:tabs>
          <w:tab w:val="left" w:pos="567"/>
        </w:tabs>
        <w:ind w:left="36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2152BA">
        <w:rPr>
          <w:szCs w:val="24"/>
        </w:rPr>
        <w:tab/>
      </w:r>
      <w:r w:rsidR="00B90A0F" w:rsidRPr="008F7187">
        <w:rPr>
          <w:szCs w:val="24"/>
        </w:rPr>
        <w:t xml:space="preserve">Le Coordinateur du </w:t>
      </w:r>
      <w:r w:rsidR="00A24CC4" w:rsidRPr="008F7187">
        <w:rPr>
          <w:szCs w:val="24"/>
        </w:rPr>
        <w:t>PDAZAM</w:t>
      </w:r>
    </w:p>
    <w:p w14:paraId="2CF1778E" w14:textId="77777777" w:rsidR="00B90A0F" w:rsidRPr="008F7187" w:rsidRDefault="00B90A0F" w:rsidP="00B90A0F">
      <w:pPr>
        <w:pStyle w:val="Paragraphedeliste"/>
        <w:tabs>
          <w:tab w:val="left" w:pos="567"/>
        </w:tabs>
        <w:ind w:left="360"/>
        <w:jc w:val="right"/>
        <w:rPr>
          <w:szCs w:val="24"/>
        </w:rPr>
      </w:pPr>
    </w:p>
    <w:p w14:paraId="77785692" w14:textId="77777777" w:rsidR="00B90A0F" w:rsidRPr="008F7187" w:rsidRDefault="00B90A0F" w:rsidP="00B90A0F">
      <w:pPr>
        <w:pStyle w:val="Paragraphedeliste"/>
        <w:tabs>
          <w:tab w:val="left" w:pos="567"/>
        </w:tabs>
        <w:ind w:left="360"/>
        <w:jc w:val="right"/>
        <w:rPr>
          <w:szCs w:val="24"/>
        </w:rPr>
      </w:pPr>
    </w:p>
    <w:p w14:paraId="59F10CE6" w14:textId="77777777" w:rsidR="00A37375" w:rsidRPr="008F7187" w:rsidRDefault="00A37375" w:rsidP="00B90A0F">
      <w:pPr>
        <w:pStyle w:val="Paragraphedeliste"/>
        <w:tabs>
          <w:tab w:val="left" w:pos="567"/>
        </w:tabs>
        <w:ind w:left="360"/>
        <w:jc w:val="right"/>
        <w:rPr>
          <w:szCs w:val="24"/>
        </w:rPr>
      </w:pPr>
    </w:p>
    <w:p w14:paraId="0F88B5B7" w14:textId="77777777" w:rsidR="00A37375" w:rsidRPr="008F7187" w:rsidRDefault="00A37375" w:rsidP="00B90A0F">
      <w:pPr>
        <w:pStyle w:val="Paragraphedeliste"/>
        <w:tabs>
          <w:tab w:val="left" w:pos="567"/>
        </w:tabs>
        <w:ind w:left="360"/>
        <w:jc w:val="right"/>
        <w:rPr>
          <w:szCs w:val="24"/>
        </w:rPr>
      </w:pPr>
    </w:p>
    <w:p w14:paraId="5E9E253C" w14:textId="77777777" w:rsidR="00B90A0F" w:rsidRPr="008F7187" w:rsidRDefault="00B90A0F" w:rsidP="00B90A0F">
      <w:pPr>
        <w:pStyle w:val="Paragraphedeliste"/>
        <w:tabs>
          <w:tab w:val="left" w:pos="567"/>
        </w:tabs>
        <w:ind w:left="360"/>
        <w:jc w:val="right"/>
        <w:rPr>
          <w:szCs w:val="24"/>
        </w:rPr>
      </w:pPr>
    </w:p>
    <w:p w14:paraId="1468CB52" w14:textId="6B316AB5" w:rsidR="00A37375" w:rsidRPr="00440797" w:rsidRDefault="00FA32F3" w:rsidP="00440797">
      <w:pPr>
        <w:pStyle w:val="Paragraphedeliste"/>
        <w:ind w:left="360"/>
        <w:jc w:val="right"/>
        <w:rPr>
          <w:b/>
          <w:szCs w:val="24"/>
        </w:rPr>
      </w:pPr>
      <w:r>
        <w:rPr>
          <w:b/>
          <w:szCs w:val="24"/>
          <w:u w:val="single"/>
        </w:rPr>
        <w:t xml:space="preserve">M. Altanata Ebalagh YATTARA </w:t>
      </w:r>
    </w:p>
    <w:sectPr w:rsidR="00A37375" w:rsidRPr="004407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DEA9F" w14:textId="77777777" w:rsidR="003E3885" w:rsidRDefault="003E3885" w:rsidP="00E76681">
      <w:r>
        <w:separator/>
      </w:r>
    </w:p>
  </w:endnote>
  <w:endnote w:type="continuationSeparator" w:id="0">
    <w:p w14:paraId="5EBB0AAA" w14:textId="77777777" w:rsidR="003E3885" w:rsidRDefault="003E3885" w:rsidP="00E7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65345" w14:textId="77777777" w:rsidR="003E3885" w:rsidRDefault="003E3885" w:rsidP="00E76681">
      <w:r>
        <w:separator/>
      </w:r>
    </w:p>
  </w:footnote>
  <w:footnote w:type="continuationSeparator" w:id="0">
    <w:p w14:paraId="2AF73020" w14:textId="77777777" w:rsidR="003E3885" w:rsidRDefault="003E3885" w:rsidP="00E76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396"/>
    <w:multiLevelType w:val="hybridMultilevel"/>
    <w:tmpl w:val="3E0CA246"/>
    <w:lvl w:ilvl="0" w:tplc="DA0A67D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371C3D"/>
    <w:multiLevelType w:val="hybridMultilevel"/>
    <w:tmpl w:val="C7C44B9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5534C5B"/>
    <w:multiLevelType w:val="hybridMultilevel"/>
    <w:tmpl w:val="1D80FD18"/>
    <w:lvl w:ilvl="0" w:tplc="B7AE086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6622D59"/>
    <w:multiLevelType w:val="hybridMultilevel"/>
    <w:tmpl w:val="C6182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35495"/>
    <w:multiLevelType w:val="hybridMultilevel"/>
    <w:tmpl w:val="CF160C9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CC4032"/>
    <w:multiLevelType w:val="hybridMultilevel"/>
    <w:tmpl w:val="0A9C7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8C19B8"/>
    <w:multiLevelType w:val="hybridMultilevel"/>
    <w:tmpl w:val="BE3CBC5E"/>
    <w:lvl w:ilvl="0" w:tplc="040C0001">
      <w:start w:val="1"/>
      <w:numFmt w:val="bullet"/>
      <w:lvlText w:val=""/>
      <w:lvlJc w:val="left"/>
      <w:pPr>
        <w:ind w:left="1065" w:hanging="705"/>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nsid w:val="44C27AC2"/>
    <w:multiLevelType w:val="hybridMultilevel"/>
    <w:tmpl w:val="4C304A6A"/>
    <w:lvl w:ilvl="0" w:tplc="4A0076A0">
      <w:start w:val="1"/>
      <w:numFmt w:val="decimal"/>
      <w:lvlText w:val="%1."/>
      <w:lvlJc w:val="left"/>
      <w:pPr>
        <w:ind w:left="720" w:hanging="360"/>
      </w:pPr>
      <w:rPr>
        <w:rFonts w:ascii="Times New Roman" w:eastAsia="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DC415AB"/>
    <w:multiLevelType w:val="hybridMultilevel"/>
    <w:tmpl w:val="D6D8B4F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nsid w:val="4E4E5437"/>
    <w:multiLevelType w:val="hybridMultilevel"/>
    <w:tmpl w:val="1DD83B90"/>
    <w:lvl w:ilvl="0" w:tplc="5CB02FF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FAA0565"/>
    <w:multiLevelType w:val="hybridMultilevel"/>
    <w:tmpl w:val="9A10E7DE"/>
    <w:lvl w:ilvl="0" w:tplc="69CADA92">
      <w:numFmt w:val="bullet"/>
      <w:lvlText w:val="­"/>
      <w:lvlJc w:val="left"/>
      <w:pPr>
        <w:ind w:left="720" w:hanging="360"/>
      </w:pPr>
      <w:rPr>
        <w:rFonts w:ascii="Arial" w:eastAsia="Calibr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4307299"/>
    <w:multiLevelType w:val="hybridMultilevel"/>
    <w:tmpl w:val="46AA6356"/>
    <w:lvl w:ilvl="0" w:tplc="5BD452FC">
      <w:numFmt w:val="bullet"/>
      <w:lvlText w:val="-"/>
      <w:lvlJc w:val="left"/>
      <w:pPr>
        <w:ind w:left="1065" w:hanging="705"/>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11"/>
  </w:num>
  <w:num w:numId="6">
    <w:abstractNumId w:val="4"/>
  </w:num>
  <w:num w:numId="7">
    <w:abstractNumId w:val="6"/>
  </w:num>
  <w:num w:numId="8">
    <w:abstractNumId w:val="8"/>
  </w:num>
  <w:num w:numId="9">
    <w:abstractNumId w:val="0"/>
  </w:num>
  <w:num w:numId="10">
    <w:abstractNumId w:val="9"/>
  </w:num>
  <w:num w:numId="11">
    <w:abstractNumId w:val="2"/>
  </w:num>
  <w:num w:numId="12">
    <w:abstractNumId w:val="5"/>
  </w:num>
  <w:num w:numId="13">
    <w:abstractNumId w:val="10"/>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emoko traore">
    <w15:presenceInfo w15:providerId="Windows Live" w15:userId="305aeccbdc9c5b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D46"/>
    <w:rsid w:val="00002F32"/>
    <w:rsid w:val="00016ED8"/>
    <w:rsid w:val="000642F7"/>
    <w:rsid w:val="0007554E"/>
    <w:rsid w:val="00080E01"/>
    <w:rsid w:val="000B3B8B"/>
    <w:rsid w:val="000C20D2"/>
    <w:rsid w:val="000C6D77"/>
    <w:rsid w:val="000F3E2C"/>
    <w:rsid w:val="000F7063"/>
    <w:rsid w:val="0010608A"/>
    <w:rsid w:val="00112F54"/>
    <w:rsid w:val="00115BE3"/>
    <w:rsid w:val="00143498"/>
    <w:rsid w:val="00166463"/>
    <w:rsid w:val="001A0483"/>
    <w:rsid w:val="002044C3"/>
    <w:rsid w:val="002152BA"/>
    <w:rsid w:val="00227D1E"/>
    <w:rsid w:val="00253E01"/>
    <w:rsid w:val="00255AFF"/>
    <w:rsid w:val="00284240"/>
    <w:rsid w:val="00293320"/>
    <w:rsid w:val="0029468F"/>
    <w:rsid w:val="002C3FDD"/>
    <w:rsid w:val="00306EB7"/>
    <w:rsid w:val="00314E4C"/>
    <w:rsid w:val="00331620"/>
    <w:rsid w:val="00363D46"/>
    <w:rsid w:val="00364D70"/>
    <w:rsid w:val="003C1E5D"/>
    <w:rsid w:val="003E3885"/>
    <w:rsid w:val="003E6002"/>
    <w:rsid w:val="003F05B3"/>
    <w:rsid w:val="0042165A"/>
    <w:rsid w:val="00440797"/>
    <w:rsid w:val="00464EB5"/>
    <w:rsid w:val="004A4E71"/>
    <w:rsid w:val="004B1B8F"/>
    <w:rsid w:val="004C3D58"/>
    <w:rsid w:val="004C64BA"/>
    <w:rsid w:val="004E00A1"/>
    <w:rsid w:val="00580F72"/>
    <w:rsid w:val="00590AA8"/>
    <w:rsid w:val="005A4CDD"/>
    <w:rsid w:val="005E53A0"/>
    <w:rsid w:val="0061393A"/>
    <w:rsid w:val="00664DF5"/>
    <w:rsid w:val="006654C6"/>
    <w:rsid w:val="006A1B78"/>
    <w:rsid w:val="006D19FA"/>
    <w:rsid w:val="007073B3"/>
    <w:rsid w:val="007075BA"/>
    <w:rsid w:val="00713724"/>
    <w:rsid w:val="0071437A"/>
    <w:rsid w:val="00731DBC"/>
    <w:rsid w:val="0079274D"/>
    <w:rsid w:val="007E3277"/>
    <w:rsid w:val="007E4C12"/>
    <w:rsid w:val="007F7083"/>
    <w:rsid w:val="00807594"/>
    <w:rsid w:val="008104E1"/>
    <w:rsid w:val="00811F4A"/>
    <w:rsid w:val="008529FA"/>
    <w:rsid w:val="00856942"/>
    <w:rsid w:val="00875BC1"/>
    <w:rsid w:val="00877230"/>
    <w:rsid w:val="00882751"/>
    <w:rsid w:val="008B0058"/>
    <w:rsid w:val="008C30FC"/>
    <w:rsid w:val="008C7377"/>
    <w:rsid w:val="008E2311"/>
    <w:rsid w:val="008E7977"/>
    <w:rsid w:val="008F7187"/>
    <w:rsid w:val="00917DAE"/>
    <w:rsid w:val="009431AD"/>
    <w:rsid w:val="009438D3"/>
    <w:rsid w:val="00962AFE"/>
    <w:rsid w:val="009B7AF6"/>
    <w:rsid w:val="009E288E"/>
    <w:rsid w:val="009E5D6D"/>
    <w:rsid w:val="009F6AC6"/>
    <w:rsid w:val="00A24CC4"/>
    <w:rsid w:val="00A35A87"/>
    <w:rsid w:val="00A37375"/>
    <w:rsid w:val="00AD4974"/>
    <w:rsid w:val="00AE2E44"/>
    <w:rsid w:val="00AE3187"/>
    <w:rsid w:val="00B03605"/>
    <w:rsid w:val="00B16E49"/>
    <w:rsid w:val="00B43412"/>
    <w:rsid w:val="00B90A0F"/>
    <w:rsid w:val="00BB6B03"/>
    <w:rsid w:val="00BD2895"/>
    <w:rsid w:val="00BD3F49"/>
    <w:rsid w:val="00BD7FFE"/>
    <w:rsid w:val="00C13F20"/>
    <w:rsid w:val="00CD174C"/>
    <w:rsid w:val="00CD28B2"/>
    <w:rsid w:val="00CE3E39"/>
    <w:rsid w:val="00CF7E49"/>
    <w:rsid w:val="00D0661F"/>
    <w:rsid w:val="00D214BA"/>
    <w:rsid w:val="00D308E9"/>
    <w:rsid w:val="00D32721"/>
    <w:rsid w:val="00D4056B"/>
    <w:rsid w:val="00D52868"/>
    <w:rsid w:val="00D5595D"/>
    <w:rsid w:val="00D70922"/>
    <w:rsid w:val="00D71B07"/>
    <w:rsid w:val="00D77CA1"/>
    <w:rsid w:val="00D9720C"/>
    <w:rsid w:val="00DC042A"/>
    <w:rsid w:val="00DF11B6"/>
    <w:rsid w:val="00E05898"/>
    <w:rsid w:val="00E34721"/>
    <w:rsid w:val="00E6085E"/>
    <w:rsid w:val="00E76681"/>
    <w:rsid w:val="00EA6347"/>
    <w:rsid w:val="00EC3D25"/>
    <w:rsid w:val="00EC6594"/>
    <w:rsid w:val="00F10E71"/>
    <w:rsid w:val="00F20660"/>
    <w:rsid w:val="00F24C30"/>
    <w:rsid w:val="00F346CD"/>
    <w:rsid w:val="00F41420"/>
    <w:rsid w:val="00F505A9"/>
    <w:rsid w:val="00F553DF"/>
    <w:rsid w:val="00F7743E"/>
    <w:rsid w:val="00FA32F3"/>
    <w:rsid w:val="00FA3684"/>
    <w:rsid w:val="00FB07A5"/>
    <w:rsid w:val="00FD4BC9"/>
    <w:rsid w:val="00FF01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D46"/>
    <w:pPr>
      <w:spacing w:after="0" w:line="240" w:lineRule="auto"/>
    </w:pPr>
    <w:rPr>
      <w:rFonts w:ascii="Times New Roman" w:eastAsia="Times New Roman" w:hAnsi="Times New Roman" w:cs="Times New Roman"/>
      <w:noProof/>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63D46"/>
    <w:rPr>
      <w:color w:val="0563C1"/>
      <w:u w:val="single"/>
    </w:rPr>
  </w:style>
  <w:style w:type="paragraph" w:styleId="Textebrut">
    <w:name w:val="Plain Text"/>
    <w:basedOn w:val="Normal"/>
    <w:link w:val="TextebrutCar"/>
    <w:uiPriority w:val="99"/>
    <w:unhideWhenUsed/>
    <w:rsid w:val="00B16E49"/>
    <w:rPr>
      <w:rFonts w:ascii="Consolas" w:eastAsiaTheme="minorHAnsi" w:hAnsi="Consolas" w:cs="Consolas"/>
      <w:sz w:val="21"/>
      <w:szCs w:val="21"/>
    </w:rPr>
  </w:style>
  <w:style w:type="character" w:customStyle="1" w:styleId="TextebrutCar">
    <w:name w:val="Texte brut Car"/>
    <w:basedOn w:val="Policepardfaut"/>
    <w:link w:val="Textebrut"/>
    <w:uiPriority w:val="99"/>
    <w:rsid w:val="00B16E49"/>
    <w:rPr>
      <w:rFonts w:ascii="Consolas" w:hAnsi="Consolas" w:cs="Consolas"/>
      <w:sz w:val="21"/>
      <w:szCs w:val="21"/>
    </w:rPr>
  </w:style>
  <w:style w:type="paragraph" w:styleId="Textedebulles">
    <w:name w:val="Balloon Text"/>
    <w:basedOn w:val="Normal"/>
    <w:link w:val="TextedebullesCar"/>
    <w:uiPriority w:val="99"/>
    <w:semiHidden/>
    <w:unhideWhenUsed/>
    <w:rsid w:val="00F206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660"/>
    <w:rPr>
      <w:rFonts w:ascii="Segoe UI" w:eastAsia="Times New Roman" w:hAnsi="Segoe UI" w:cs="Segoe UI"/>
      <w:sz w:val="18"/>
      <w:szCs w:val="18"/>
      <w:lang w:val="en-US"/>
    </w:rPr>
  </w:style>
  <w:style w:type="paragraph" w:styleId="Paragraphedeliste">
    <w:name w:val="List Paragraph"/>
    <w:aliases w:val="Bullets,Medium Grid 1 - Accent 21,References,List Paragraph (numbered (a)),List Paragraph1,Liste Article,Liste 1,List Paragraph nowy,Numbered List Paragraph,ReferencesCxSpLast,123 List Paragraph,List_Paragraph,Multilevel para_II,lp1"/>
    <w:basedOn w:val="Normal"/>
    <w:link w:val="ParagraphedelisteCar"/>
    <w:uiPriority w:val="34"/>
    <w:qFormat/>
    <w:rsid w:val="00F20660"/>
    <w:pPr>
      <w:ind w:left="720"/>
      <w:contextualSpacing/>
    </w:pPr>
  </w:style>
  <w:style w:type="character" w:styleId="Marquedecommentaire">
    <w:name w:val="annotation reference"/>
    <w:basedOn w:val="Policepardfaut"/>
    <w:uiPriority w:val="99"/>
    <w:semiHidden/>
    <w:unhideWhenUsed/>
    <w:rsid w:val="003E6002"/>
    <w:rPr>
      <w:sz w:val="16"/>
      <w:szCs w:val="16"/>
    </w:rPr>
  </w:style>
  <w:style w:type="paragraph" w:styleId="Commentaire">
    <w:name w:val="annotation text"/>
    <w:basedOn w:val="Normal"/>
    <w:link w:val="CommentaireCar"/>
    <w:uiPriority w:val="99"/>
    <w:semiHidden/>
    <w:unhideWhenUsed/>
    <w:rsid w:val="003E6002"/>
    <w:rPr>
      <w:sz w:val="20"/>
    </w:rPr>
  </w:style>
  <w:style w:type="character" w:customStyle="1" w:styleId="CommentaireCar">
    <w:name w:val="Commentaire Car"/>
    <w:basedOn w:val="Policepardfaut"/>
    <w:link w:val="Commentaire"/>
    <w:uiPriority w:val="99"/>
    <w:semiHidden/>
    <w:rsid w:val="003E6002"/>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3E6002"/>
    <w:rPr>
      <w:b/>
      <w:bCs/>
    </w:rPr>
  </w:style>
  <w:style w:type="character" w:customStyle="1" w:styleId="ObjetducommentaireCar">
    <w:name w:val="Objet du commentaire Car"/>
    <w:basedOn w:val="CommentaireCar"/>
    <w:link w:val="Objetducommentaire"/>
    <w:uiPriority w:val="99"/>
    <w:semiHidden/>
    <w:rsid w:val="003E6002"/>
    <w:rPr>
      <w:rFonts w:ascii="Times New Roman" w:eastAsia="Times New Roman" w:hAnsi="Times New Roman" w:cs="Times New Roman"/>
      <w:b/>
      <w:bCs/>
      <w:sz w:val="20"/>
      <w:szCs w:val="20"/>
      <w:lang w:val="en-US"/>
    </w:rPr>
  </w:style>
  <w:style w:type="character" w:customStyle="1" w:styleId="ParagraphedelisteCar">
    <w:name w:val="Paragraphe de liste Car"/>
    <w:aliases w:val="Bullets Car,Medium Grid 1 - Accent 21 Car,References Car,List Paragraph (numbered (a)) Car,List Paragraph1 Car,Liste Article Car,Liste 1 Car,List Paragraph nowy Car,Numbered List Paragraph Car,ReferencesCxSpLast Car,lp1 Car"/>
    <w:link w:val="Paragraphedeliste"/>
    <w:uiPriority w:val="34"/>
    <w:qFormat/>
    <w:locked/>
    <w:rsid w:val="00112F54"/>
    <w:rPr>
      <w:rFonts w:ascii="Times New Roman" w:eastAsia="Times New Roman" w:hAnsi="Times New Roman" w:cs="Times New Roman"/>
      <w:sz w:val="24"/>
      <w:szCs w:val="20"/>
      <w:lang w:val="en-US"/>
    </w:rPr>
  </w:style>
  <w:style w:type="character" w:customStyle="1" w:styleId="SansinterligneCar">
    <w:name w:val="Sans interligne Car"/>
    <w:link w:val="Sansinterligne"/>
    <w:uiPriority w:val="1"/>
    <w:locked/>
    <w:rsid w:val="00D71B07"/>
    <w:rPr>
      <w:rFonts w:ascii="Times New Roman" w:eastAsia="SimSun" w:hAnsi="Times New Roman" w:cs="Times New Roman"/>
      <w:lang w:val="en-US" w:eastAsia="ja-JP"/>
    </w:rPr>
  </w:style>
  <w:style w:type="paragraph" w:styleId="Sansinterligne">
    <w:name w:val="No Spacing"/>
    <w:link w:val="SansinterligneCar"/>
    <w:uiPriority w:val="1"/>
    <w:qFormat/>
    <w:rsid w:val="00D71B07"/>
    <w:pPr>
      <w:spacing w:after="0" w:line="240" w:lineRule="auto"/>
    </w:pPr>
    <w:rPr>
      <w:rFonts w:ascii="Times New Roman" w:eastAsia="SimSun" w:hAnsi="Times New Roman" w:cs="Times New Roman"/>
      <w:lang w:val="en-US" w:eastAsia="ja-JP"/>
    </w:rPr>
  </w:style>
  <w:style w:type="paragraph" w:styleId="Rvision">
    <w:name w:val="Revision"/>
    <w:hidden/>
    <w:uiPriority w:val="99"/>
    <w:semiHidden/>
    <w:rsid w:val="00E76681"/>
    <w:pPr>
      <w:spacing w:after="0" w:line="240" w:lineRule="auto"/>
    </w:pPr>
    <w:rPr>
      <w:rFonts w:ascii="Times New Roman" w:eastAsia="Times New Roman" w:hAnsi="Times New Roman" w:cs="Times New Roman"/>
      <w:noProof/>
      <w:sz w:val="24"/>
      <w:szCs w:val="20"/>
    </w:rPr>
  </w:style>
  <w:style w:type="paragraph" w:styleId="En-tte">
    <w:name w:val="header"/>
    <w:basedOn w:val="Normal"/>
    <w:link w:val="En-tteCar"/>
    <w:uiPriority w:val="99"/>
    <w:unhideWhenUsed/>
    <w:rsid w:val="00E76681"/>
    <w:pPr>
      <w:tabs>
        <w:tab w:val="center" w:pos="4680"/>
        <w:tab w:val="right" w:pos="9360"/>
      </w:tabs>
    </w:pPr>
  </w:style>
  <w:style w:type="character" w:customStyle="1" w:styleId="En-tteCar">
    <w:name w:val="En-tête Car"/>
    <w:basedOn w:val="Policepardfaut"/>
    <w:link w:val="En-tte"/>
    <w:uiPriority w:val="99"/>
    <w:rsid w:val="00E76681"/>
    <w:rPr>
      <w:rFonts w:ascii="Times New Roman" w:eastAsia="Times New Roman" w:hAnsi="Times New Roman" w:cs="Times New Roman"/>
      <w:noProof/>
      <w:sz w:val="24"/>
      <w:szCs w:val="20"/>
    </w:rPr>
  </w:style>
  <w:style w:type="paragraph" w:styleId="Pieddepage">
    <w:name w:val="footer"/>
    <w:basedOn w:val="Normal"/>
    <w:link w:val="PieddepageCar"/>
    <w:uiPriority w:val="99"/>
    <w:unhideWhenUsed/>
    <w:rsid w:val="00E76681"/>
    <w:pPr>
      <w:tabs>
        <w:tab w:val="center" w:pos="4680"/>
        <w:tab w:val="right" w:pos="9360"/>
      </w:tabs>
    </w:pPr>
  </w:style>
  <w:style w:type="character" w:customStyle="1" w:styleId="PieddepageCar">
    <w:name w:val="Pied de page Car"/>
    <w:basedOn w:val="Policepardfaut"/>
    <w:link w:val="Pieddepage"/>
    <w:uiPriority w:val="99"/>
    <w:rsid w:val="00E76681"/>
    <w:rPr>
      <w:rFonts w:ascii="Times New Roman" w:eastAsia="Times New Roman" w:hAnsi="Times New Roman" w:cs="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D46"/>
    <w:pPr>
      <w:spacing w:after="0" w:line="240" w:lineRule="auto"/>
    </w:pPr>
    <w:rPr>
      <w:rFonts w:ascii="Times New Roman" w:eastAsia="Times New Roman" w:hAnsi="Times New Roman" w:cs="Times New Roman"/>
      <w:noProof/>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63D46"/>
    <w:rPr>
      <w:color w:val="0563C1"/>
      <w:u w:val="single"/>
    </w:rPr>
  </w:style>
  <w:style w:type="paragraph" w:styleId="Textebrut">
    <w:name w:val="Plain Text"/>
    <w:basedOn w:val="Normal"/>
    <w:link w:val="TextebrutCar"/>
    <w:uiPriority w:val="99"/>
    <w:unhideWhenUsed/>
    <w:rsid w:val="00B16E49"/>
    <w:rPr>
      <w:rFonts w:ascii="Consolas" w:eastAsiaTheme="minorHAnsi" w:hAnsi="Consolas" w:cs="Consolas"/>
      <w:sz w:val="21"/>
      <w:szCs w:val="21"/>
    </w:rPr>
  </w:style>
  <w:style w:type="character" w:customStyle="1" w:styleId="TextebrutCar">
    <w:name w:val="Texte brut Car"/>
    <w:basedOn w:val="Policepardfaut"/>
    <w:link w:val="Textebrut"/>
    <w:uiPriority w:val="99"/>
    <w:rsid w:val="00B16E49"/>
    <w:rPr>
      <w:rFonts w:ascii="Consolas" w:hAnsi="Consolas" w:cs="Consolas"/>
      <w:sz w:val="21"/>
      <w:szCs w:val="21"/>
    </w:rPr>
  </w:style>
  <w:style w:type="paragraph" w:styleId="Textedebulles">
    <w:name w:val="Balloon Text"/>
    <w:basedOn w:val="Normal"/>
    <w:link w:val="TextedebullesCar"/>
    <w:uiPriority w:val="99"/>
    <w:semiHidden/>
    <w:unhideWhenUsed/>
    <w:rsid w:val="00F206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660"/>
    <w:rPr>
      <w:rFonts w:ascii="Segoe UI" w:eastAsia="Times New Roman" w:hAnsi="Segoe UI" w:cs="Segoe UI"/>
      <w:sz w:val="18"/>
      <w:szCs w:val="18"/>
      <w:lang w:val="en-US"/>
    </w:rPr>
  </w:style>
  <w:style w:type="paragraph" w:styleId="Paragraphedeliste">
    <w:name w:val="List Paragraph"/>
    <w:aliases w:val="Bullets,Medium Grid 1 - Accent 21,References,List Paragraph (numbered (a)),List Paragraph1,Liste Article,Liste 1,List Paragraph nowy,Numbered List Paragraph,ReferencesCxSpLast,123 List Paragraph,List_Paragraph,Multilevel para_II,lp1"/>
    <w:basedOn w:val="Normal"/>
    <w:link w:val="ParagraphedelisteCar"/>
    <w:uiPriority w:val="34"/>
    <w:qFormat/>
    <w:rsid w:val="00F20660"/>
    <w:pPr>
      <w:ind w:left="720"/>
      <w:contextualSpacing/>
    </w:pPr>
  </w:style>
  <w:style w:type="character" w:styleId="Marquedecommentaire">
    <w:name w:val="annotation reference"/>
    <w:basedOn w:val="Policepardfaut"/>
    <w:uiPriority w:val="99"/>
    <w:semiHidden/>
    <w:unhideWhenUsed/>
    <w:rsid w:val="003E6002"/>
    <w:rPr>
      <w:sz w:val="16"/>
      <w:szCs w:val="16"/>
    </w:rPr>
  </w:style>
  <w:style w:type="paragraph" w:styleId="Commentaire">
    <w:name w:val="annotation text"/>
    <w:basedOn w:val="Normal"/>
    <w:link w:val="CommentaireCar"/>
    <w:uiPriority w:val="99"/>
    <w:semiHidden/>
    <w:unhideWhenUsed/>
    <w:rsid w:val="003E6002"/>
    <w:rPr>
      <w:sz w:val="20"/>
    </w:rPr>
  </w:style>
  <w:style w:type="character" w:customStyle="1" w:styleId="CommentaireCar">
    <w:name w:val="Commentaire Car"/>
    <w:basedOn w:val="Policepardfaut"/>
    <w:link w:val="Commentaire"/>
    <w:uiPriority w:val="99"/>
    <w:semiHidden/>
    <w:rsid w:val="003E6002"/>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3E6002"/>
    <w:rPr>
      <w:b/>
      <w:bCs/>
    </w:rPr>
  </w:style>
  <w:style w:type="character" w:customStyle="1" w:styleId="ObjetducommentaireCar">
    <w:name w:val="Objet du commentaire Car"/>
    <w:basedOn w:val="CommentaireCar"/>
    <w:link w:val="Objetducommentaire"/>
    <w:uiPriority w:val="99"/>
    <w:semiHidden/>
    <w:rsid w:val="003E6002"/>
    <w:rPr>
      <w:rFonts w:ascii="Times New Roman" w:eastAsia="Times New Roman" w:hAnsi="Times New Roman" w:cs="Times New Roman"/>
      <w:b/>
      <w:bCs/>
      <w:sz w:val="20"/>
      <w:szCs w:val="20"/>
      <w:lang w:val="en-US"/>
    </w:rPr>
  </w:style>
  <w:style w:type="character" w:customStyle="1" w:styleId="ParagraphedelisteCar">
    <w:name w:val="Paragraphe de liste Car"/>
    <w:aliases w:val="Bullets Car,Medium Grid 1 - Accent 21 Car,References Car,List Paragraph (numbered (a)) Car,List Paragraph1 Car,Liste Article Car,Liste 1 Car,List Paragraph nowy Car,Numbered List Paragraph Car,ReferencesCxSpLast Car,lp1 Car"/>
    <w:link w:val="Paragraphedeliste"/>
    <w:uiPriority w:val="34"/>
    <w:qFormat/>
    <w:locked/>
    <w:rsid w:val="00112F54"/>
    <w:rPr>
      <w:rFonts w:ascii="Times New Roman" w:eastAsia="Times New Roman" w:hAnsi="Times New Roman" w:cs="Times New Roman"/>
      <w:sz w:val="24"/>
      <w:szCs w:val="20"/>
      <w:lang w:val="en-US"/>
    </w:rPr>
  </w:style>
  <w:style w:type="character" w:customStyle="1" w:styleId="SansinterligneCar">
    <w:name w:val="Sans interligne Car"/>
    <w:link w:val="Sansinterligne"/>
    <w:uiPriority w:val="1"/>
    <w:locked/>
    <w:rsid w:val="00D71B07"/>
    <w:rPr>
      <w:rFonts w:ascii="Times New Roman" w:eastAsia="SimSun" w:hAnsi="Times New Roman" w:cs="Times New Roman"/>
      <w:lang w:val="en-US" w:eastAsia="ja-JP"/>
    </w:rPr>
  </w:style>
  <w:style w:type="paragraph" w:styleId="Sansinterligne">
    <w:name w:val="No Spacing"/>
    <w:link w:val="SansinterligneCar"/>
    <w:uiPriority w:val="1"/>
    <w:qFormat/>
    <w:rsid w:val="00D71B07"/>
    <w:pPr>
      <w:spacing w:after="0" w:line="240" w:lineRule="auto"/>
    </w:pPr>
    <w:rPr>
      <w:rFonts w:ascii="Times New Roman" w:eastAsia="SimSun" w:hAnsi="Times New Roman" w:cs="Times New Roman"/>
      <w:lang w:val="en-US" w:eastAsia="ja-JP"/>
    </w:rPr>
  </w:style>
  <w:style w:type="paragraph" w:styleId="Rvision">
    <w:name w:val="Revision"/>
    <w:hidden/>
    <w:uiPriority w:val="99"/>
    <w:semiHidden/>
    <w:rsid w:val="00E76681"/>
    <w:pPr>
      <w:spacing w:after="0" w:line="240" w:lineRule="auto"/>
    </w:pPr>
    <w:rPr>
      <w:rFonts w:ascii="Times New Roman" w:eastAsia="Times New Roman" w:hAnsi="Times New Roman" w:cs="Times New Roman"/>
      <w:noProof/>
      <w:sz w:val="24"/>
      <w:szCs w:val="20"/>
    </w:rPr>
  </w:style>
  <w:style w:type="paragraph" w:styleId="En-tte">
    <w:name w:val="header"/>
    <w:basedOn w:val="Normal"/>
    <w:link w:val="En-tteCar"/>
    <w:uiPriority w:val="99"/>
    <w:unhideWhenUsed/>
    <w:rsid w:val="00E76681"/>
    <w:pPr>
      <w:tabs>
        <w:tab w:val="center" w:pos="4680"/>
        <w:tab w:val="right" w:pos="9360"/>
      </w:tabs>
    </w:pPr>
  </w:style>
  <w:style w:type="character" w:customStyle="1" w:styleId="En-tteCar">
    <w:name w:val="En-tête Car"/>
    <w:basedOn w:val="Policepardfaut"/>
    <w:link w:val="En-tte"/>
    <w:uiPriority w:val="99"/>
    <w:rsid w:val="00E76681"/>
    <w:rPr>
      <w:rFonts w:ascii="Times New Roman" w:eastAsia="Times New Roman" w:hAnsi="Times New Roman" w:cs="Times New Roman"/>
      <w:noProof/>
      <w:sz w:val="24"/>
      <w:szCs w:val="20"/>
    </w:rPr>
  </w:style>
  <w:style w:type="paragraph" w:styleId="Pieddepage">
    <w:name w:val="footer"/>
    <w:basedOn w:val="Normal"/>
    <w:link w:val="PieddepageCar"/>
    <w:uiPriority w:val="99"/>
    <w:unhideWhenUsed/>
    <w:rsid w:val="00E76681"/>
    <w:pPr>
      <w:tabs>
        <w:tab w:val="center" w:pos="4680"/>
        <w:tab w:val="right" w:pos="9360"/>
      </w:tabs>
    </w:pPr>
  </w:style>
  <w:style w:type="character" w:customStyle="1" w:styleId="PieddepageCar">
    <w:name w:val="Pied de page Car"/>
    <w:basedOn w:val="Policepardfaut"/>
    <w:link w:val="Pieddepage"/>
    <w:uiPriority w:val="99"/>
    <w:rsid w:val="00E76681"/>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82716">
      <w:bodyDiv w:val="1"/>
      <w:marLeft w:val="0"/>
      <w:marRight w:val="0"/>
      <w:marTop w:val="0"/>
      <w:marBottom w:val="0"/>
      <w:divBdr>
        <w:top w:val="none" w:sz="0" w:space="0" w:color="auto"/>
        <w:left w:val="none" w:sz="0" w:space="0" w:color="auto"/>
        <w:bottom w:val="none" w:sz="0" w:space="0" w:color="auto"/>
        <w:right w:val="none" w:sz="0" w:space="0" w:color="auto"/>
      </w:divBdr>
    </w:div>
    <w:div w:id="18879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sidibe@pdazam.org" TargetMode="External"/><Relationship Id="rId5" Type="http://schemas.openxmlformats.org/officeDocument/2006/relationships/settings" Target="settings.xml"/><Relationship Id="rId10" Type="http://schemas.openxmlformats.org/officeDocument/2006/relationships/hyperlink" Target="mailto:pdazam@pdazam.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56308-4F05-46F5-8C54-C80CBE00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1240</Words>
  <Characters>6822</Characters>
  <Application>Microsoft Office Word</Application>
  <DocSecurity>0</DocSecurity>
  <Lines>56</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"Ousmane Makan SIDIBE"</dc:creator>
  <cp:lastModifiedBy>Ousmane Makan SIDIBE</cp:lastModifiedBy>
  <cp:revision>5</cp:revision>
  <cp:lastPrinted>2021-02-08T16:12:00Z</cp:lastPrinted>
  <dcterms:created xsi:type="dcterms:W3CDTF">2021-09-23T15:39:00Z</dcterms:created>
  <dcterms:modified xsi:type="dcterms:W3CDTF">2021-09-23T15:47:00Z</dcterms:modified>
</cp:coreProperties>
</file>