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965" w:rsidRPr="00653525" w:rsidRDefault="00653525" w:rsidP="00020A74">
      <w:pPr>
        <w:jc w:val="center"/>
        <w:rPr>
          <w:b/>
          <w:bCs/>
          <w:sz w:val="28"/>
          <w:szCs w:val="28"/>
          <w14:shadow w14:blurRad="50800" w14:dist="38100" w14:dir="2700000" w14:sx="100000" w14:sy="100000" w14:kx="0" w14:ky="0" w14:algn="tl">
            <w14:srgbClr w14:val="000000">
              <w14:alpha w14:val="60000"/>
            </w14:srgbClr>
          </w14:shadow>
        </w:rPr>
      </w:pPr>
      <w:r w:rsidRPr="00653525">
        <w:rPr>
          <w:b/>
          <w:bCs/>
          <w:sz w:val="28"/>
          <w:szCs w:val="28"/>
          <w14:shadow w14:blurRad="50800" w14:dist="38100" w14:dir="2700000" w14:sx="100000" w14:sy="100000" w14:kx="0" w14:ky="0" w14:algn="tl">
            <w14:srgbClr w14:val="000000">
              <w14:alpha w14:val="60000"/>
            </w14:srgbClr>
          </w14:shadow>
        </w:rPr>
        <w:t>RECRUTEMENT D’UN CONSULTANT CHARGE DE L’INVENTAIRE DU PATRIMOINE DE L’INPS</w:t>
      </w:r>
    </w:p>
    <w:p w:rsidR="000A7965" w:rsidRDefault="000A7965" w:rsidP="00020A74">
      <w:pPr>
        <w:jc w:val="center"/>
        <w:rPr>
          <w:b/>
          <w:bCs/>
          <w:sz w:val="28"/>
          <w:szCs w:val="28"/>
          <w:u w:val="single"/>
          <w14:shadow w14:blurRad="50800" w14:dist="38100" w14:dir="2700000" w14:sx="100000" w14:sy="100000" w14:kx="0" w14:ky="0" w14:algn="tl">
            <w14:srgbClr w14:val="000000">
              <w14:alpha w14:val="60000"/>
            </w14:srgbClr>
          </w14:shadow>
        </w:rPr>
      </w:pPr>
    </w:p>
    <w:p w:rsidR="000A7965" w:rsidRDefault="000A7965" w:rsidP="00020A74">
      <w:pPr>
        <w:jc w:val="center"/>
        <w:rPr>
          <w:b/>
          <w:bCs/>
          <w:sz w:val="28"/>
          <w:szCs w:val="28"/>
          <w:u w:val="single"/>
          <w14:shadow w14:blurRad="50800" w14:dist="38100" w14:dir="2700000" w14:sx="100000" w14:sy="100000" w14:kx="0" w14:ky="0" w14:algn="tl">
            <w14:srgbClr w14:val="000000">
              <w14:alpha w14:val="60000"/>
            </w14:srgbClr>
          </w14:shadow>
        </w:rPr>
      </w:pPr>
      <w:bookmarkStart w:id="0" w:name="_GoBack"/>
      <w:bookmarkEnd w:id="0"/>
    </w:p>
    <w:p w:rsidR="000A7965" w:rsidRDefault="000A7965" w:rsidP="00020A74">
      <w:pPr>
        <w:jc w:val="center"/>
        <w:rPr>
          <w:b/>
          <w:bCs/>
          <w:sz w:val="28"/>
          <w:szCs w:val="28"/>
          <w:u w:val="single"/>
          <w14:shadow w14:blurRad="50800" w14:dist="38100" w14:dir="2700000" w14:sx="100000" w14:sy="100000" w14:kx="0" w14:ky="0" w14:algn="tl">
            <w14:srgbClr w14:val="000000">
              <w14:alpha w14:val="60000"/>
            </w14:srgbClr>
          </w14:shadow>
        </w:rPr>
      </w:pPr>
    </w:p>
    <w:p w:rsidR="00F640F1" w:rsidRDefault="00F640F1" w:rsidP="00020A74">
      <w:pPr>
        <w:jc w:val="center"/>
        <w:rPr>
          <w:b/>
          <w:bCs/>
          <w:sz w:val="28"/>
          <w:szCs w:val="28"/>
          <w:u w:val="single"/>
          <w14:shadow w14:blurRad="50800" w14:dist="38100" w14:dir="2700000" w14:sx="100000" w14:sy="100000" w14:kx="0" w14:ky="0" w14:algn="tl">
            <w14:srgbClr w14:val="000000">
              <w14:alpha w14:val="60000"/>
            </w14:srgbClr>
          </w14:shadow>
        </w:rPr>
      </w:pPr>
    </w:p>
    <w:p w:rsidR="00816097" w:rsidRDefault="00816097" w:rsidP="00020A74">
      <w:pPr>
        <w:jc w:val="center"/>
        <w:rPr>
          <w:b/>
          <w:bCs/>
          <w:sz w:val="28"/>
          <w:szCs w:val="28"/>
          <w:u w:val="single"/>
          <w14:shadow w14:blurRad="50800" w14:dist="38100" w14:dir="2700000" w14:sx="100000" w14:sy="100000" w14:kx="0" w14:ky="0" w14:algn="tl">
            <w14:srgbClr w14:val="000000">
              <w14:alpha w14:val="60000"/>
            </w14:srgbClr>
          </w14:shadow>
        </w:rPr>
      </w:pPr>
    </w:p>
    <w:p w:rsidR="00816097" w:rsidRDefault="00816097" w:rsidP="00020A74">
      <w:pPr>
        <w:jc w:val="center"/>
        <w:rPr>
          <w:b/>
          <w:bCs/>
          <w:sz w:val="28"/>
          <w:szCs w:val="28"/>
          <w:u w:val="single"/>
          <w14:shadow w14:blurRad="50800" w14:dist="38100" w14:dir="2700000" w14:sx="100000" w14:sy="100000" w14:kx="0" w14:ky="0" w14:algn="tl">
            <w14:srgbClr w14:val="000000">
              <w14:alpha w14:val="60000"/>
            </w14:srgbClr>
          </w14:shadow>
        </w:rPr>
      </w:pPr>
    </w:p>
    <w:p w:rsidR="000A7965" w:rsidRDefault="000A7965" w:rsidP="00F640F1">
      <w:pPr>
        <w:rPr>
          <w:b/>
          <w:bCs/>
          <w:sz w:val="28"/>
          <w:szCs w:val="28"/>
          <w:u w:val="single"/>
          <w14:shadow w14:blurRad="50800" w14:dist="38100" w14:dir="2700000" w14:sx="100000" w14:sy="100000" w14:kx="0" w14:ky="0" w14:algn="tl">
            <w14:srgbClr w14:val="000000">
              <w14:alpha w14:val="60000"/>
            </w14:srgbClr>
          </w14:shadow>
        </w:rPr>
      </w:pPr>
    </w:p>
    <w:p w:rsidR="00020A74" w:rsidRPr="005F580B" w:rsidRDefault="00020A74" w:rsidP="00020A74">
      <w:pPr>
        <w:jc w:val="center"/>
        <w:rPr>
          <w:b/>
          <w:bCs/>
          <w:sz w:val="28"/>
          <w:szCs w:val="28"/>
          <w:u w:val="single"/>
          <w14:shadow w14:blurRad="50800" w14:dist="38100" w14:dir="2700000" w14:sx="100000" w14:sy="100000" w14:kx="0" w14:ky="0" w14:algn="tl">
            <w14:srgbClr w14:val="000000">
              <w14:alpha w14:val="60000"/>
            </w14:srgbClr>
          </w14:shadow>
        </w:rPr>
      </w:pPr>
      <w:r w:rsidRPr="005F580B">
        <w:rPr>
          <w:b/>
          <w:bCs/>
          <w:sz w:val="28"/>
          <w:szCs w:val="28"/>
          <w:u w:val="single"/>
          <w14:shadow w14:blurRad="50800" w14:dist="38100" w14:dir="2700000" w14:sx="100000" w14:sy="100000" w14:kx="0" w14:ky="0" w14:algn="tl">
            <w14:srgbClr w14:val="000000">
              <w14:alpha w14:val="60000"/>
            </w14:srgbClr>
          </w14:shadow>
        </w:rPr>
        <w:t>AVIS DE MANIFESTATION D’INTERET</w:t>
      </w:r>
    </w:p>
    <w:p w:rsidR="00020A74" w:rsidRDefault="00020A74" w:rsidP="00020A74">
      <w:pPr>
        <w:jc w:val="center"/>
        <w:rPr>
          <w:b/>
          <w:bCs/>
          <w:sz w:val="28"/>
          <w:szCs w:val="28"/>
          <w14:shadow w14:blurRad="50800" w14:dist="38100" w14:dir="2700000" w14:sx="100000" w14:sy="100000" w14:kx="0" w14:ky="0" w14:algn="tl">
            <w14:srgbClr w14:val="000000">
              <w14:alpha w14:val="60000"/>
            </w14:srgbClr>
          </w14:shadow>
        </w:rPr>
      </w:pPr>
      <w:r w:rsidRPr="005F580B">
        <w:rPr>
          <w:b/>
          <w:bCs/>
          <w:sz w:val="28"/>
          <w:szCs w:val="28"/>
          <w14:shadow w14:blurRad="50800" w14:dist="38100" w14:dir="2700000" w14:sx="100000" w14:sy="100000" w14:kx="0" w14:ky="0" w14:algn="tl">
            <w14:srgbClr w14:val="000000">
              <w14:alpha w14:val="60000"/>
            </w14:srgbClr>
          </w14:shadow>
        </w:rPr>
        <w:t>Institut National de Prévoyance Sociale</w:t>
      </w:r>
    </w:p>
    <w:p w:rsidR="000F1093" w:rsidRPr="005F580B" w:rsidRDefault="000F1093" w:rsidP="00020A74">
      <w:pPr>
        <w:jc w:val="center"/>
        <w:rPr>
          <w:b/>
          <w:bCs/>
          <w:sz w:val="28"/>
          <w:szCs w:val="28"/>
          <w14:shadow w14:blurRad="50800" w14:dist="38100" w14:dir="2700000" w14:sx="100000" w14:sy="100000" w14:kx="0" w14:ky="0" w14:algn="tl">
            <w14:srgbClr w14:val="000000">
              <w14:alpha w14:val="60000"/>
            </w14:srgbClr>
          </w14:shadow>
        </w:rPr>
      </w:pPr>
    </w:p>
    <w:p w:rsidR="000F1093" w:rsidRDefault="000F1093" w:rsidP="000F1093">
      <w:pPr>
        <w:pStyle w:val="Paragraphedeliste"/>
        <w:numPr>
          <w:ilvl w:val="0"/>
          <w:numId w:val="19"/>
        </w:numPr>
        <w:spacing w:after="200" w:line="276" w:lineRule="auto"/>
        <w:jc w:val="both"/>
        <w:rPr>
          <w:rFonts w:ascii="Bookman Old Style" w:hAnsi="Bookman Old Style"/>
          <w:b/>
          <w:u w:val="single"/>
        </w:rPr>
      </w:pPr>
      <w:r>
        <w:rPr>
          <w:rFonts w:ascii="Bookman Old Style" w:hAnsi="Bookman Old Style"/>
          <w:b/>
          <w:u w:val="single"/>
        </w:rPr>
        <w:t>CONTEXTE</w:t>
      </w:r>
    </w:p>
    <w:p w:rsidR="000F1093" w:rsidRDefault="000F1093" w:rsidP="000F1093">
      <w:pPr>
        <w:spacing w:line="360" w:lineRule="auto"/>
        <w:jc w:val="both"/>
        <w:rPr>
          <w:rFonts w:ascii="Bookman Old Style" w:hAnsi="Bookman Old Style"/>
        </w:rPr>
      </w:pPr>
      <w:r>
        <w:rPr>
          <w:rFonts w:ascii="Bookman Old Style" w:hAnsi="Bookman Old Style"/>
        </w:rPr>
        <w:t xml:space="preserve">L’institut National de Prévoyance Social (INPS) a été créé par la loi n°61-59 /AN-RM du 15 mai 1961, abrogée et remplacée par la loi n°96-004 du 25 janvier 1996, en vue d’assurer la gestion des régimes de prévoyance sociale institués en faveur des travailleurs salariés par la loi n°62-68 /AN-RM du 09 août 1962 instituant un code de Prévoyance Sociale en République du Mali et reprise par la loi N°99-041 du 21 août 1999. </w:t>
      </w:r>
    </w:p>
    <w:p w:rsidR="000F1093" w:rsidRDefault="000F1093" w:rsidP="000F1093">
      <w:pPr>
        <w:spacing w:line="360" w:lineRule="auto"/>
        <w:jc w:val="both"/>
        <w:rPr>
          <w:rFonts w:ascii="Bookman Old Style" w:hAnsi="Bookman Old Style"/>
        </w:rPr>
      </w:pPr>
      <w:r>
        <w:rPr>
          <w:rFonts w:ascii="Bookman Old Style" w:hAnsi="Bookman Old Style"/>
        </w:rPr>
        <w:t>A cet effet, la loi lui confie deux missions principales : encaisser les cotisations et servir les prestations des divers régimes de prévoyance sociale à savoir :</w:t>
      </w:r>
    </w:p>
    <w:p w:rsidR="000F1093" w:rsidRDefault="000F1093" w:rsidP="000F1093">
      <w:pPr>
        <w:pStyle w:val="Paragraphedeliste"/>
        <w:numPr>
          <w:ilvl w:val="0"/>
          <w:numId w:val="20"/>
        </w:numPr>
        <w:spacing w:after="200" w:line="360" w:lineRule="auto"/>
        <w:jc w:val="both"/>
        <w:rPr>
          <w:rFonts w:ascii="Bookman Old Style" w:hAnsi="Bookman Old Style"/>
        </w:rPr>
      </w:pPr>
      <w:r>
        <w:rPr>
          <w:rFonts w:ascii="Bookman Old Style" w:hAnsi="Bookman Old Style"/>
        </w:rPr>
        <w:t>les prestations familiales ;</w:t>
      </w:r>
    </w:p>
    <w:p w:rsidR="000F1093" w:rsidRDefault="000F1093" w:rsidP="000F1093">
      <w:pPr>
        <w:pStyle w:val="Paragraphedeliste"/>
        <w:numPr>
          <w:ilvl w:val="0"/>
          <w:numId w:val="20"/>
        </w:numPr>
        <w:spacing w:after="200" w:line="360" w:lineRule="auto"/>
        <w:jc w:val="both"/>
        <w:rPr>
          <w:rFonts w:ascii="Bookman Old Style" w:hAnsi="Bookman Old Style"/>
        </w:rPr>
      </w:pPr>
      <w:r>
        <w:rPr>
          <w:rFonts w:ascii="Bookman Old Style" w:hAnsi="Bookman Old Style"/>
        </w:rPr>
        <w:t>les accidents du travail et maladies professionnelles ;</w:t>
      </w:r>
    </w:p>
    <w:p w:rsidR="000F1093" w:rsidRPr="00816097" w:rsidRDefault="000F1093" w:rsidP="00816097">
      <w:pPr>
        <w:pStyle w:val="Paragraphedeliste"/>
        <w:numPr>
          <w:ilvl w:val="0"/>
          <w:numId w:val="20"/>
        </w:numPr>
        <w:spacing w:after="200" w:line="360" w:lineRule="auto"/>
        <w:jc w:val="both"/>
        <w:rPr>
          <w:rFonts w:ascii="Bookman Old Style" w:hAnsi="Bookman Old Style"/>
        </w:rPr>
      </w:pPr>
      <w:r>
        <w:rPr>
          <w:rFonts w:ascii="Bookman Old Style" w:hAnsi="Bookman Old Style"/>
        </w:rPr>
        <w:t>l’assurance vieillesse, l’invalidité, le décès ;</w:t>
      </w:r>
    </w:p>
    <w:p w:rsidR="000F1093" w:rsidRDefault="000F1093" w:rsidP="000F1093">
      <w:pPr>
        <w:spacing w:line="360" w:lineRule="auto"/>
        <w:jc w:val="both"/>
        <w:rPr>
          <w:rFonts w:ascii="Bookman Old Style" w:hAnsi="Bookman Old Style"/>
        </w:rPr>
      </w:pPr>
      <w:r>
        <w:rPr>
          <w:rFonts w:ascii="Bookman Old Style" w:hAnsi="Bookman Old Style"/>
        </w:rPr>
        <w:t>Avec l’institution de l’Assurance Maladie Obligatoire (AMO), la gestion de ce dernier volet a été confiée à la CANAM qui a bénéficié de l’ensemble du financement de la branche (2%), tandis que le volet prévention médicale est resté à la charge de l’INPS, dépourvu de financement.</w:t>
      </w:r>
    </w:p>
    <w:p w:rsidR="000F1093" w:rsidRDefault="000F1093" w:rsidP="000F1093">
      <w:pPr>
        <w:spacing w:line="360" w:lineRule="auto"/>
        <w:jc w:val="both"/>
        <w:rPr>
          <w:rFonts w:ascii="Bookman Old Style" w:hAnsi="Bookman Old Style"/>
        </w:rPr>
      </w:pPr>
      <w:r>
        <w:rPr>
          <w:rFonts w:ascii="Bookman Old Style" w:hAnsi="Bookman Old Style"/>
        </w:rPr>
        <w:t>En outre, la loi confie à l’INPS la gestion d’une action sanitaire et sociale qui complète les prestations fournies au titre des régimes techniques.</w:t>
      </w:r>
    </w:p>
    <w:p w:rsidR="000F1093" w:rsidRDefault="000F1093" w:rsidP="000F1093">
      <w:pPr>
        <w:spacing w:line="360" w:lineRule="auto"/>
        <w:jc w:val="both"/>
        <w:rPr>
          <w:rFonts w:ascii="Bookman Old Style" w:hAnsi="Bookman Old Style"/>
        </w:rPr>
      </w:pPr>
      <w:r>
        <w:rPr>
          <w:rFonts w:ascii="Bookman Old Style" w:hAnsi="Bookman Old Style"/>
        </w:rPr>
        <w:t>Depuis 1999, le bénéfice de prestations de certains régimes a été élargi aux travailleurs indépendants et aux membres non-salariés des professions libérales, commerciales, industrielles et artisanales par la loi instituant l’assura</w:t>
      </w:r>
      <w:r w:rsidR="00106C95">
        <w:rPr>
          <w:rFonts w:ascii="Bookman Old Style" w:hAnsi="Bookman Old Style"/>
        </w:rPr>
        <w:t xml:space="preserve">nce volontaire (n°99-047 du 28 </w:t>
      </w:r>
      <w:r>
        <w:rPr>
          <w:rFonts w:ascii="Bookman Old Style" w:hAnsi="Bookman Old Style"/>
        </w:rPr>
        <w:t xml:space="preserve"> </w:t>
      </w:r>
      <w:r w:rsidR="00106C95">
        <w:rPr>
          <w:rFonts w:ascii="Bookman Old Style" w:hAnsi="Bookman Old Style"/>
        </w:rPr>
        <w:t>D</w:t>
      </w:r>
      <w:r>
        <w:rPr>
          <w:rFonts w:ascii="Bookman Old Style" w:hAnsi="Bookman Old Style"/>
        </w:rPr>
        <w:t>écembre 1999).</w:t>
      </w:r>
    </w:p>
    <w:p w:rsidR="000F1093" w:rsidRDefault="000F1093" w:rsidP="000F1093">
      <w:pPr>
        <w:spacing w:line="360" w:lineRule="auto"/>
        <w:jc w:val="both"/>
        <w:rPr>
          <w:rFonts w:ascii="Bookman Old Style" w:eastAsia="Batang" w:hAnsi="Bookman Old Style"/>
        </w:rPr>
      </w:pPr>
      <w:r>
        <w:rPr>
          <w:rFonts w:ascii="Bookman Old Style" w:eastAsia="Batang" w:hAnsi="Bookman Old Style"/>
        </w:rPr>
        <w:lastRenderedPageBreak/>
        <w:t>Le souci d’avoir une bonne maitrise du patrimoine mobilier et immobilier, la direction de l’INPS envisage d’engager par voie de sélection un cabinet indépendant en vue de faire un état des lieux du patrimoine de l’Institut.</w:t>
      </w:r>
    </w:p>
    <w:p w:rsidR="000F1093" w:rsidRDefault="000F1093" w:rsidP="000F1093">
      <w:pPr>
        <w:spacing w:line="360" w:lineRule="auto"/>
        <w:jc w:val="both"/>
        <w:rPr>
          <w:rFonts w:ascii="Bookman Old Style" w:eastAsia="Batang" w:hAnsi="Bookman Old Style"/>
        </w:rPr>
      </w:pPr>
      <w:r>
        <w:rPr>
          <w:rFonts w:ascii="Bookman Old Style" w:eastAsia="Batang" w:hAnsi="Bookman Old Style"/>
        </w:rPr>
        <w:t>Ces travaux doivent permettre, d'identifier les équipements manquants, défectueux et obsolètes en comparaison avec les informations fournies par la comptabilité.</w:t>
      </w:r>
    </w:p>
    <w:p w:rsidR="000F1093" w:rsidRDefault="000F1093" w:rsidP="000F1093">
      <w:pPr>
        <w:pStyle w:val="Paragraphedeliste"/>
        <w:numPr>
          <w:ilvl w:val="0"/>
          <w:numId w:val="19"/>
        </w:numPr>
        <w:spacing w:after="200" w:line="276" w:lineRule="auto"/>
        <w:jc w:val="both"/>
        <w:rPr>
          <w:rFonts w:ascii="Bookman Old Style" w:eastAsiaTheme="minorHAnsi" w:hAnsi="Bookman Old Style"/>
          <w:b/>
          <w:u w:val="single"/>
        </w:rPr>
      </w:pPr>
      <w:r>
        <w:rPr>
          <w:rFonts w:ascii="Bookman Old Style" w:hAnsi="Bookman Old Style"/>
          <w:b/>
          <w:u w:val="single"/>
        </w:rPr>
        <w:t>OBJECTIFS DE LA MISSION</w:t>
      </w:r>
    </w:p>
    <w:p w:rsidR="000F1093" w:rsidRDefault="000F1093" w:rsidP="000F1093">
      <w:pPr>
        <w:pStyle w:val="Paragraphedeliste"/>
        <w:jc w:val="both"/>
        <w:rPr>
          <w:rFonts w:ascii="Bookman Old Style" w:hAnsi="Bookman Old Style"/>
          <w:b/>
          <w:u w:val="single"/>
        </w:rPr>
      </w:pPr>
    </w:p>
    <w:p w:rsidR="000F1093" w:rsidRDefault="000F1093" w:rsidP="000F1093">
      <w:pPr>
        <w:pStyle w:val="Paragraphedeliste"/>
        <w:jc w:val="both"/>
        <w:rPr>
          <w:rFonts w:ascii="Bookman Old Style" w:hAnsi="Bookman Old Style"/>
          <w:bCs/>
        </w:rPr>
      </w:pPr>
      <w:r>
        <w:rPr>
          <w:rFonts w:ascii="Bookman Old Style" w:hAnsi="Bookman Old Style"/>
          <w:bCs/>
        </w:rPr>
        <w:t xml:space="preserve">La mission a pour objectifs : </w:t>
      </w:r>
    </w:p>
    <w:p w:rsidR="000F1093" w:rsidRDefault="000F1093" w:rsidP="000F1093">
      <w:pPr>
        <w:pStyle w:val="Paragraphedeliste"/>
        <w:jc w:val="both"/>
        <w:rPr>
          <w:rFonts w:ascii="Bookman Old Style" w:hAnsi="Bookman Old Style"/>
          <w:b/>
          <w:u w:val="single"/>
        </w:rPr>
      </w:pPr>
    </w:p>
    <w:p w:rsidR="000F1093" w:rsidRDefault="000F1093" w:rsidP="000F1093">
      <w:pPr>
        <w:pStyle w:val="Paragraphedeliste"/>
        <w:numPr>
          <w:ilvl w:val="0"/>
          <w:numId w:val="21"/>
        </w:numPr>
        <w:spacing w:after="200" w:line="276" w:lineRule="auto"/>
        <w:ind w:left="1134" w:hanging="283"/>
        <w:jc w:val="both"/>
        <w:rPr>
          <w:rFonts w:ascii="Bookman Old Style" w:eastAsia="Batang" w:hAnsi="Bookman Old Style"/>
        </w:rPr>
      </w:pPr>
      <w:r>
        <w:rPr>
          <w:rFonts w:ascii="Bookman Old Style" w:eastAsia="Batang" w:hAnsi="Bookman Old Style"/>
        </w:rPr>
        <w:t>La reconstitution des éléments d'actifs immobilisés avec l’aide d’une application informatique avec étiquette code barre ;</w:t>
      </w:r>
    </w:p>
    <w:p w:rsidR="000F1093" w:rsidRDefault="000F1093" w:rsidP="000F1093">
      <w:pPr>
        <w:pStyle w:val="Paragraphedeliste"/>
        <w:numPr>
          <w:ilvl w:val="0"/>
          <w:numId w:val="21"/>
        </w:numPr>
        <w:spacing w:after="200" w:line="276" w:lineRule="auto"/>
        <w:ind w:left="1134" w:hanging="283"/>
        <w:jc w:val="both"/>
        <w:rPr>
          <w:rFonts w:ascii="Bookman Old Style" w:eastAsia="Batang" w:hAnsi="Bookman Old Style"/>
        </w:rPr>
      </w:pPr>
      <w:r>
        <w:rPr>
          <w:rFonts w:ascii="Bookman Old Style" w:eastAsia="Batang" w:hAnsi="Bookman Old Style"/>
        </w:rPr>
        <w:t>La valorisation des actifs immobilisés existants ;</w:t>
      </w:r>
    </w:p>
    <w:p w:rsidR="000F1093" w:rsidRDefault="000F1093" w:rsidP="000F1093">
      <w:pPr>
        <w:pStyle w:val="Paragraphedeliste"/>
        <w:numPr>
          <w:ilvl w:val="0"/>
          <w:numId w:val="21"/>
        </w:numPr>
        <w:spacing w:after="200" w:line="276" w:lineRule="auto"/>
        <w:ind w:left="1134" w:hanging="283"/>
        <w:jc w:val="both"/>
        <w:rPr>
          <w:rFonts w:ascii="Bookman Old Style" w:eastAsia="Batang" w:hAnsi="Bookman Old Style"/>
        </w:rPr>
      </w:pPr>
      <w:r>
        <w:rPr>
          <w:rFonts w:ascii="Bookman Old Style" w:eastAsia="Batang" w:hAnsi="Bookman Old Style"/>
        </w:rPr>
        <w:t>L’identification par site et descriptif de l’état général ;</w:t>
      </w:r>
    </w:p>
    <w:p w:rsidR="000F1093" w:rsidRDefault="000F1093" w:rsidP="000F1093">
      <w:pPr>
        <w:pStyle w:val="Paragraphedeliste"/>
        <w:numPr>
          <w:ilvl w:val="0"/>
          <w:numId w:val="21"/>
        </w:numPr>
        <w:spacing w:after="200" w:line="276" w:lineRule="auto"/>
        <w:ind w:left="1134" w:hanging="283"/>
        <w:jc w:val="both"/>
        <w:rPr>
          <w:rFonts w:ascii="Bookman Old Style" w:eastAsia="Batang" w:hAnsi="Bookman Old Style"/>
        </w:rPr>
      </w:pPr>
      <w:r>
        <w:rPr>
          <w:rFonts w:ascii="Bookman Old Style" w:eastAsia="Batang" w:hAnsi="Bookman Old Style"/>
        </w:rPr>
        <w:t>La mise à jour des fiches détenteurs ;</w:t>
      </w:r>
    </w:p>
    <w:p w:rsidR="000F1093" w:rsidRDefault="000F1093" w:rsidP="000F1093">
      <w:pPr>
        <w:pStyle w:val="Paragraphedeliste"/>
        <w:numPr>
          <w:ilvl w:val="0"/>
          <w:numId w:val="21"/>
        </w:numPr>
        <w:spacing w:after="200" w:line="276" w:lineRule="auto"/>
        <w:ind w:left="1134" w:hanging="283"/>
        <w:jc w:val="both"/>
        <w:rPr>
          <w:rFonts w:ascii="Bookman Old Style" w:eastAsia="Batang" w:hAnsi="Bookman Old Style"/>
        </w:rPr>
      </w:pPr>
      <w:r>
        <w:rPr>
          <w:rFonts w:ascii="Bookman Old Style" w:eastAsia="Batang" w:hAnsi="Bookman Old Style"/>
        </w:rPr>
        <w:t>Recensement du patrimoine immobilier (inventaire des terrains bâtis et non bâtis, immeubles de rapport, immeubles affectés à l’exploitation) ;</w:t>
      </w:r>
    </w:p>
    <w:p w:rsidR="000F1093" w:rsidRDefault="000F1093" w:rsidP="000F1093">
      <w:pPr>
        <w:pStyle w:val="Paragraphedeliste"/>
        <w:numPr>
          <w:ilvl w:val="0"/>
          <w:numId w:val="21"/>
        </w:numPr>
        <w:spacing w:after="200" w:line="276" w:lineRule="auto"/>
        <w:ind w:left="1134" w:hanging="283"/>
        <w:jc w:val="both"/>
        <w:rPr>
          <w:rFonts w:ascii="Bookman Old Style" w:eastAsia="Batang" w:hAnsi="Bookman Old Style"/>
        </w:rPr>
      </w:pPr>
      <w:r>
        <w:rPr>
          <w:rFonts w:ascii="Bookman Old Style" w:eastAsia="Batang" w:hAnsi="Bookman Old Style"/>
        </w:rPr>
        <w:t>La mise à jour de la codification ;</w:t>
      </w:r>
    </w:p>
    <w:p w:rsidR="000F1093" w:rsidRDefault="000F1093" w:rsidP="000F1093">
      <w:pPr>
        <w:pStyle w:val="Paragraphedeliste"/>
        <w:numPr>
          <w:ilvl w:val="0"/>
          <w:numId w:val="21"/>
        </w:numPr>
        <w:spacing w:after="200" w:line="276" w:lineRule="auto"/>
        <w:ind w:left="1134" w:hanging="283"/>
        <w:jc w:val="both"/>
        <w:rPr>
          <w:rFonts w:ascii="Bookman Old Style" w:eastAsia="Batang" w:hAnsi="Bookman Old Style"/>
        </w:rPr>
      </w:pPr>
      <w:r>
        <w:rPr>
          <w:rFonts w:ascii="Bookman Old Style" w:eastAsia="Batang" w:hAnsi="Bookman Old Style"/>
        </w:rPr>
        <w:t>La mise à jour du manuel de codification du patrimoine mobilier et immobilier ;</w:t>
      </w:r>
    </w:p>
    <w:p w:rsidR="000F1093" w:rsidRDefault="000F1093" w:rsidP="000F1093">
      <w:pPr>
        <w:pStyle w:val="Paragraphedeliste"/>
        <w:numPr>
          <w:ilvl w:val="0"/>
          <w:numId w:val="21"/>
        </w:numPr>
        <w:spacing w:after="200" w:line="276" w:lineRule="auto"/>
        <w:ind w:left="1134" w:hanging="283"/>
        <w:jc w:val="both"/>
        <w:rPr>
          <w:rFonts w:ascii="Bookman Old Style" w:eastAsia="Batang" w:hAnsi="Bookman Old Style"/>
        </w:rPr>
      </w:pPr>
      <w:r>
        <w:rPr>
          <w:rFonts w:ascii="Bookman Old Style" w:eastAsia="Batang" w:hAnsi="Bookman Old Style"/>
        </w:rPr>
        <w:t>L’intégration des résultats de l’inventaire dans les états financiers (mise en conformité des états financiers avec les résultats de l’inventaire) ;</w:t>
      </w:r>
    </w:p>
    <w:p w:rsidR="000F1093" w:rsidRDefault="000F1093" w:rsidP="000F1093">
      <w:pPr>
        <w:pStyle w:val="Paragraphedeliste"/>
        <w:numPr>
          <w:ilvl w:val="0"/>
          <w:numId w:val="21"/>
        </w:numPr>
        <w:spacing w:after="200" w:line="276" w:lineRule="auto"/>
        <w:ind w:left="1134" w:hanging="283"/>
        <w:jc w:val="both"/>
        <w:rPr>
          <w:rFonts w:ascii="Bookman Old Style" w:eastAsia="Batang" w:hAnsi="Bookman Old Style"/>
        </w:rPr>
      </w:pPr>
      <w:r>
        <w:rPr>
          <w:rFonts w:ascii="Bookman Old Style" w:eastAsia="Batang" w:hAnsi="Bookman Old Style"/>
        </w:rPr>
        <w:t>La mise à disposition d’un fichier des immobilisations dont les données concordent avec la comptabilité ;</w:t>
      </w:r>
    </w:p>
    <w:p w:rsidR="000F1093" w:rsidRDefault="000F1093" w:rsidP="000F1093">
      <w:pPr>
        <w:spacing w:line="360" w:lineRule="auto"/>
        <w:jc w:val="both"/>
        <w:rPr>
          <w:rFonts w:ascii="Bookman Old Style" w:eastAsia="Batang" w:hAnsi="Bookman Old Style"/>
        </w:rPr>
      </w:pPr>
      <w:r>
        <w:rPr>
          <w:rFonts w:ascii="Bookman Old Style" w:eastAsia="Batang" w:hAnsi="Bookman Old Style"/>
        </w:rPr>
        <w:t>La réalisation des inventaires physiques des immobilisations concerne le siège, les directions régionales, les agences principales, les agences secondaires, les structures médicales et  sanitaires de l’Institut.</w:t>
      </w:r>
    </w:p>
    <w:p w:rsidR="000F1093" w:rsidRDefault="000F1093" w:rsidP="000F1093">
      <w:pPr>
        <w:pStyle w:val="Paragraphedeliste"/>
        <w:ind w:left="1134"/>
        <w:jc w:val="both"/>
        <w:rPr>
          <w:rFonts w:ascii="Bookman Old Style" w:eastAsia="Batang" w:hAnsi="Bookman Old Style"/>
        </w:rPr>
      </w:pPr>
    </w:p>
    <w:p w:rsidR="000F1093" w:rsidRDefault="000F1093" w:rsidP="000F1093">
      <w:pPr>
        <w:pStyle w:val="Paragraphedeliste"/>
        <w:numPr>
          <w:ilvl w:val="0"/>
          <w:numId w:val="19"/>
        </w:numPr>
        <w:spacing w:after="200" w:line="276" w:lineRule="auto"/>
        <w:jc w:val="both"/>
        <w:rPr>
          <w:rFonts w:ascii="Bookman Old Style" w:eastAsiaTheme="minorHAnsi" w:hAnsi="Bookman Old Style"/>
          <w:b/>
          <w:u w:val="single"/>
        </w:rPr>
      </w:pPr>
      <w:r>
        <w:rPr>
          <w:rFonts w:ascii="Bookman Old Style" w:hAnsi="Bookman Old Style"/>
          <w:b/>
          <w:u w:val="single"/>
        </w:rPr>
        <w:t>RESULTATS ATTENDUS</w:t>
      </w:r>
    </w:p>
    <w:p w:rsidR="000F1093" w:rsidRDefault="000F1093" w:rsidP="000F1093">
      <w:pPr>
        <w:jc w:val="both"/>
        <w:rPr>
          <w:rFonts w:ascii="Bookman Old Style" w:eastAsia="Batang" w:hAnsi="Bookman Old Style"/>
        </w:rPr>
      </w:pPr>
      <w:r>
        <w:rPr>
          <w:rFonts w:ascii="Bookman Old Style" w:eastAsia="Batang" w:hAnsi="Bookman Old Style"/>
        </w:rPr>
        <w:t>Cette mission permettra d’identifier les immobilisations à proposer à la réforme mais aussi de proposer des actions à mettre en œuvre pour un meilleur suivi des biens et équipements de l’Institut.</w:t>
      </w:r>
    </w:p>
    <w:p w:rsidR="00F640F1" w:rsidRPr="00816097" w:rsidRDefault="00F640F1" w:rsidP="00816097">
      <w:pPr>
        <w:spacing w:after="200" w:line="276" w:lineRule="auto"/>
        <w:jc w:val="both"/>
        <w:rPr>
          <w:rFonts w:ascii="Bookman Old Style" w:eastAsia="Batang" w:hAnsi="Bookman Old Style"/>
        </w:rPr>
      </w:pPr>
    </w:p>
    <w:p w:rsidR="000F1093" w:rsidRDefault="000F1093" w:rsidP="000F1093">
      <w:pPr>
        <w:pStyle w:val="Paragraphedeliste"/>
        <w:numPr>
          <w:ilvl w:val="0"/>
          <w:numId w:val="19"/>
        </w:numPr>
        <w:spacing w:after="200" w:line="276" w:lineRule="auto"/>
        <w:jc w:val="both"/>
        <w:rPr>
          <w:rFonts w:ascii="Bookman Old Style" w:eastAsia="Batang" w:hAnsi="Bookman Old Style"/>
        </w:rPr>
      </w:pPr>
      <w:r>
        <w:rPr>
          <w:rFonts w:ascii="Bookman Old Style" w:hAnsi="Bookman Old Style"/>
          <w:b/>
          <w:u w:val="single"/>
        </w:rPr>
        <w:t>MOYENS</w:t>
      </w:r>
      <w:r>
        <w:rPr>
          <w:rFonts w:ascii="Bookman Old Style" w:hAnsi="Bookman Old Style"/>
          <w:b/>
        </w:rPr>
        <w:t> </w:t>
      </w:r>
    </w:p>
    <w:p w:rsidR="000F1093" w:rsidRDefault="000F1093" w:rsidP="000F1093">
      <w:pPr>
        <w:jc w:val="both"/>
        <w:rPr>
          <w:rFonts w:ascii="Bookman Old Style" w:eastAsia="Batang" w:hAnsi="Bookman Old Style"/>
        </w:rPr>
      </w:pPr>
      <w:r>
        <w:rPr>
          <w:rFonts w:ascii="Bookman Old Style" w:eastAsia="Batang" w:hAnsi="Bookman Old Style"/>
        </w:rPr>
        <w:t xml:space="preserve">Dans le cadre de cette mission, il sera fait appel à un Cabinet externe inscrit dans un ordre professionnel ayant une parfaite connaissance des textes </w:t>
      </w:r>
      <w:r>
        <w:rPr>
          <w:rFonts w:ascii="Bookman Old Style" w:eastAsia="Batang" w:hAnsi="Bookman Old Style"/>
        </w:rPr>
        <w:lastRenderedPageBreak/>
        <w:t xml:space="preserve">régissant l’organisation de la comptabilité matière de manière générale, </w:t>
      </w:r>
      <w:r w:rsidR="000F1755">
        <w:rPr>
          <w:rFonts w:ascii="Bookman Old Style" w:eastAsia="Batang" w:hAnsi="Bookman Old Style"/>
        </w:rPr>
        <w:t>et les établissements</w:t>
      </w:r>
      <w:r>
        <w:rPr>
          <w:rFonts w:ascii="Bookman Old Style" w:eastAsia="Batang" w:hAnsi="Bookman Old Style"/>
        </w:rPr>
        <w:t xml:space="preserve"> publics à caractère administratif.</w:t>
      </w:r>
    </w:p>
    <w:p w:rsidR="000F1093" w:rsidRDefault="000F1093" w:rsidP="000F1093">
      <w:pPr>
        <w:jc w:val="both"/>
        <w:rPr>
          <w:rFonts w:ascii="Bookman Old Style" w:eastAsia="Batang" w:hAnsi="Bookman Old Style"/>
        </w:rPr>
      </w:pPr>
      <w:r>
        <w:rPr>
          <w:rFonts w:ascii="Bookman Old Style" w:eastAsia="Batang" w:hAnsi="Bookman Old Style"/>
        </w:rPr>
        <w:t>L’Agence Comptable et la Direction Financière et Comptable mettront à la disposition du Cabinet toutes les informations sur les comptes et les immobilisations existantes à savoir :</w:t>
      </w:r>
    </w:p>
    <w:p w:rsidR="000F1093" w:rsidRDefault="000F1093" w:rsidP="000F1093">
      <w:pPr>
        <w:pStyle w:val="Paragraphedeliste"/>
        <w:numPr>
          <w:ilvl w:val="0"/>
          <w:numId w:val="22"/>
        </w:numPr>
        <w:spacing w:after="200" w:line="276" w:lineRule="auto"/>
        <w:jc w:val="both"/>
        <w:rPr>
          <w:rFonts w:ascii="Bookman Old Style" w:eastAsia="Batang" w:hAnsi="Bookman Old Style"/>
        </w:rPr>
      </w:pPr>
      <w:r>
        <w:rPr>
          <w:rFonts w:ascii="Bookman Old Style" w:eastAsia="Batang" w:hAnsi="Bookman Old Style"/>
        </w:rPr>
        <w:t>Les sites concernés ;</w:t>
      </w:r>
    </w:p>
    <w:p w:rsidR="000F1093" w:rsidRDefault="000F1093" w:rsidP="000F1093">
      <w:pPr>
        <w:pStyle w:val="Paragraphedeliste"/>
        <w:numPr>
          <w:ilvl w:val="0"/>
          <w:numId w:val="22"/>
        </w:numPr>
        <w:spacing w:after="200" w:line="276" w:lineRule="auto"/>
        <w:jc w:val="both"/>
        <w:rPr>
          <w:rFonts w:ascii="Bookman Old Style" w:eastAsia="Batang" w:hAnsi="Bookman Old Style"/>
        </w:rPr>
      </w:pPr>
      <w:r>
        <w:rPr>
          <w:rFonts w:ascii="Bookman Old Style" w:eastAsia="Batang" w:hAnsi="Bookman Old Style"/>
        </w:rPr>
        <w:t>La liste des immobilisations.</w:t>
      </w:r>
    </w:p>
    <w:p w:rsidR="000F1093" w:rsidRDefault="000F1093" w:rsidP="000F1093">
      <w:pPr>
        <w:jc w:val="both"/>
        <w:rPr>
          <w:rFonts w:ascii="Bookman Old Style" w:eastAsia="Batang" w:hAnsi="Bookman Old Style"/>
        </w:rPr>
      </w:pPr>
      <w:r>
        <w:rPr>
          <w:rFonts w:ascii="Bookman Old Style" w:eastAsia="Batang" w:hAnsi="Bookman Old Style"/>
        </w:rPr>
        <w:t>En outre, toutes les structures opérationnelles mettront à la disposition du Cabinet la documentation nécessaire.</w:t>
      </w:r>
    </w:p>
    <w:p w:rsidR="000F1093" w:rsidRDefault="000F1093" w:rsidP="000F1093">
      <w:pPr>
        <w:jc w:val="both"/>
        <w:rPr>
          <w:rFonts w:ascii="Bookman Old Style" w:eastAsia="Batang" w:hAnsi="Bookman Old Style"/>
        </w:rPr>
      </w:pPr>
    </w:p>
    <w:p w:rsidR="000F1093" w:rsidRDefault="000F1093" w:rsidP="000F1093">
      <w:pPr>
        <w:pStyle w:val="Paragraphedeliste"/>
        <w:numPr>
          <w:ilvl w:val="0"/>
          <w:numId w:val="19"/>
        </w:numPr>
        <w:spacing w:after="200" w:line="276" w:lineRule="auto"/>
        <w:jc w:val="both"/>
        <w:rPr>
          <w:rFonts w:ascii="Bookman Old Style" w:eastAsiaTheme="minorHAnsi" w:hAnsi="Bookman Old Style"/>
          <w:b/>
          <w:u w:val="single"/>
        </w:rPr>
      </w:pPr>
      <w:r>
        <w:rPr>
          <w:rFonts w:ascii="Bookman Old Style" w:hAnsi="Bookman Old Style"/>
          <w:b/>
          <w:u w:val="single"/>
        </w:rPr>
        <w:t>CHRONOGRAMME DES ACTIONS</w:t>
      </w:r>
    </w:p>
    <w:p w:rsidR="000F1093" w:rsidRDefault="000F1093" w:rsidP="000F1093">
      <w:pPr>
        <w:jc w:val="both"/>
        <w:rPr>
          <w:rFonts w:ascii="Bookman Old Style" w:eastAsia="Batang" w:hAnsi="Bookman Old Style"/>
        </w:rPr>
      </w:pPr>
      <w:r>
        <w:rPr>
          <w:rFonts w:ascii="Bookman Old Style" w:eastAsia="Batang" w:hAnsi="Bookman Old Style"/>
        </w:rPr>
        <w:t>Un Comité de Pilotage de la mission sera mis en place</w:t>
      </w:r>
      <w:r w:rsidR="000F1755">
        <w:rPr>
          <w:rFonts w:ascii="Bookman Old Style" w:eastAsia="Batang" w:hAnsi="Bookman Old Style"/>
        </w:rPr>
        <w:t xml:space="preserve"> par</w:t>
      </w:r>
      <w:r>
        <w:rPr>
          <w:rFonts w:ascii="Bookman Old Style" w:eastAsia="Batang" w:hAnsi="Bookman Old Style"/>
        </w:rPr>
        <w:t xml:space="preserve"> la Direction générale de l’INPS</w:t>
      </w:r>
    </w:p>
    <w:p w:rsidR="000F1093" w:rsidRDefault="000F1093" w:rsidP="000F1093">
      <w:pPr>
        <w:jc w:val="both"/>
        <w:rPr>
          <w:rFonts w:ascii="Bookman Old Style" w:eastAsia="Batang" w:hAnsi="Bookman Old Style"/>
        </w:rPr>
      </w:pPr>
      <w:r>
        <w:rPr>
          <w:rFonts w:ascii="Bookman Old Style" w:eastAsia="Batang" w:hAnsi="Bookman Old Style"/>
        </w:rPr>
        <w:t>Une réunion préparatoire avec les différents responsables sera tenue en présence de la Directrice Générale ou de son représentant,</w:t>
      </w:r>
    </w:p>
    <w:p w:rsidR="000F1093" w:rsidRDefault="000F1093" w:rsidP="000F1093">
      <w:pPr>
        <w:tabs>
          <w:tab w:val="num" w:pos="284"/>
        </w:tabs>
        <w:jc w:val="both"/>
        <w:rPr>
          <w:rFonts w:ascii="Bookman Old Style" w:eastAsia="Batang" w:hAnsi="Bookman Old Style"/>
          <w:b/>
          <w:bCs/>
        </w:rPr>
      </w:pPr>
      <w:r>
        <w:rPr>
          <w:rFonts w:ascii="Bookman Old Style" w:eastAsia="Batang" w:hAnsi="Bookman Old Style"/>
        </w:rPr>
        <w:t>Les inventaires se dérouleront en fonction du calendrier qui sera décliné par le Cabinet et validé par l’INPS en fonction des zones et sites de l’INPS. Les localités concernées sont </w:t>
      </w:r>
      <w:r>
        <w:rPr>
          <w:rFonts w:ascii="Bookman Old Style" w:eastAsia="Batang" w:hAnsi="Bookman Old Style"/>
          <w:b/>
          <w:bCs/>
        </w:rPr>
        <w:t>: Bamako, Kayes, Koulikoro, Sikasso, Ségou, Mopti, Gao et Tombouctou. (Y compris les chefs-lieux de cercles)</w:t>
      </w:r>
    </w:p>
    <w:p w:rsidR="000F1093" w:rsidRDefault="000F1093" w:rsidP="000F1093">
      <w:pPr>
        <w:jc w:val="both"/>
        <w:rPr>
          <w:rFonts w:ascii="Bookman Old Style" w:eastAsia="Batang" w:hAnsi="Bookman Old Style"/>
        </w:rPr>
      </w:pPr>
      <w:r>
        <w:rPr>
          <w:rFonts w:ascii="Bookman Old Style" w:eastAsia="Batang" w:hAnsi="Bookman Old Style"/>
        </w:rPr>
        <w:t>Cette mission est prévue pour une durée de 06 mois au plus suivant le calendrier de travail qui sera établi dans le respect des délais spécifiés par les présents termes de référence.</w:t>
      </w:r>
    </w:p>
    <w:p w:rsidR="000F1093" w:rsidRDefault="000F1093" w:rsidP="00F640F1">
      <w:pPr>
        <w:jc w:val="both"/>
        <w:rPr>
          <w:rFonts w:ascii="Bookman Old Style" w:eastAsia="Batang" w:hAnsi="Bookman Old Style"/>
        </w:rPr>
      </w:pPr>
    </w:p>
    <w:p w:rsidR="000F1093" w:rsidRDefault="000F1093" w:rsidP="000F1093">
      <w:pPr>
        <w:pStyle w:val="Paragraphedeliste"/>
        <w:numPr>
          <w:ilvl w:val="0"/>
          <w:numId w:val="19"/>
        </w:numPr>
        <w:spacing w:after="200" w:line="276" w:lineRule="auto"/>
        <w:jc w:val="both"/>
        <w:rPr>
          <w:rFonts w:ascii="Bookman Old Style" w:eastAsiaTheme="minorHAnsi" w:hAnsi="Bookman Old Style"/>
          <w:b/>
          <w:u w:val="single"/>
        </w:rPr>
      </w:pPr>
      <w:r>
        <w:rPr>
          <w:rFonts w:ascii="Bookman Old Style" w:hAnsi="Bookman Old Style"/>
          <w:b/>
          <w:u w:val="single"/>
        </w:rPr>
        <w:t>LIVRABLES</w:t>
      </w:r>
    </w:p>
    <w:p w:rsidR="000F1093" w:rsidRDefault="000F1093" w:rsidP="000F1093">
      <w:pPr>
        <w:jc w:val="both"/>
        <w:rPr>
          <w:rFonts w:ascii="Bookman Old Style" w:eastAsia="Batang" w:hAnsi="Bookman Old Style"/>
        </w:rPr>
      </w:pPr>
      <w:r>
        <w:rPr>
          <w:rFonts w:ascii="Bookman Old Style" w:eastAsia="Batang" w:hAnsi="Bookman Old Style"/>
        </w:rPr>
        <w:t>Au terme des travaux d'inventaire,</w:t>
      </w:r>
      <w:r w:rsidR="000F1755">
        <w:rPr>
          <w:rFonts w:ascii="Bookman Old Style" w:eastAsia="Batang" w:hAnsi="Bookman Old Style"/>
        </w:rPr>
        <w:t xml:space="preserve"> le Cabinet ou groupement sélectionné</w:t>
      </w:r>
      <w:r>
        <w:rPr>
          <w:rFonts w:ascii="Bookman Old Style" w:eastAsia="Batang" w:hAnsi="Bookman Old Style"/>
        </w:rPr>
        <w:t xml:space="preserve"> produira un rapport provisoire de l'inventaire des biens, en mettant en exergue les facteurs clés et les points d’attention. Un transfert de compétences sera fait par rapport à l’application informatique utilisée par le cabinet </w:t>
      </w:r>
    </w:p>
    <w:p w:rsidR="000F1093" w:rsidRDefault="000F1093" w:rsidP="000F1093">
      <w:pPr>
        <w:jc w:val="both"/>
        <w:rPr>
          <w:rFonts w:ascii="Bookman Old Style" w:eastAsia="Batang" w:hAnsi="Bookman Old Style"/>
        </w:rPr>
      </w:pPr>
      <w:r>
        <w:rPr>
          <w:rFonts w:ascii="Bookman Old Style" w:eastAsia="Batang" w:hAnsi="Bookman Old Style"/>
        </w:rPr>
        <w:t>Suivant les compléments d’informations qui seront apportés par le Comité de pilotage, un rapport final sera mis à la disposit</w:t>
      </w:r>
      <w:r w:rsidR="00FE01A6">
        <w:rPr>
          <w:rFonts w:ascii="Bookman Old Style" w:eastAsia="Batang" w:hAnsi="Bookman Old Style"/>
        </w:rPr>
        <w:t>ion de l’Institut qui comportera l’ensemble des points cités dans les objectifs de la mission.</w:t>
      </w:r>
    </w:p>
    <w:p w:rsidR="000F1093" w:rsidRDefault="000F1093" w:rsidP="000F1093">
      <w:pPr>
        <w:pStyle w:val="Paragraphedeliste"/>
        <w:ind w:left="1145"/>
        <w:jc w:val="both"/>
        <w:rPr>
          <w:rFonts w:ascii="Bookman Old Style" w:eastAsia="Batang" w:hAnsi="Bookman Old Style" w:cstheme="minorBidi"/>
          <w:b/>
          <w:u w:val="single"/>
        </w:rPr>
      </w:pPr>
    </w:p>
    <w:p w:rsidR="000F1093" w:rsidRPr="00816097" w:rsidRDefault="000F1093" w:rsidP="00816097">
      <w:pPr>
        <w:pStyle w:val="Paragraphedeliste"/>
        <w:numPr>
          <w:ilvl w:val="0"/>
          <w:numId w:val="19"/>
        </w:numPr>
        <w:spacing w:after="200" w:line="276" w:lineRule="auto"/>
        <w:jc w:val="both"/>
        <w:rPr>
          <w:rFonts w:ascii="Bookman Old Style" w:eastAsia="Batang" w:hAnsi="Bookman Old Style"/>
          <w:b/>
          <w:u w:val="single"/>
        </w:rPr>
      </w:pPr>
      <w:r>
        <w:rPr>
          <w:rFonts w:ascii="Bookman Old Style" w:eastAsia="Batang" w:hAnsi="Bookman Old Style"/>
          <w:b/>
          <w:u w:val="single"/>
        </w:rPr>
        <w:t>METHODOLOGIE</w:t>
      </w:r>
    </w:p>
    <w:p w:rsidR="000F1093" w:rsidRDefault="000F1093" w:rsidP="000F1093">
      <w:pPr>
        <w:pStyle w:val="Paragraphedeliste"/>
        <w:ind w:left="0"/>
        <w:jc w:val="both"/>
        <w:rPr>
          <w:rFonts w:ascii="Bookman Old Style" w:eastAsia="Batang" w:hAnsi="Bookman Old Style"/>
        </w:rPr>
      </w:pPr>
      <w:r>
        <w:rPr>
          <w:rFonts w:ascii="Bookman Old Style" w:eastAsia="Batang" w:hAnsi="Bookman Old Style"/>
        </w:rPr>
        <w:t>Le Cabinet ou groupement décrira sa propre méthodologie et fera éventuellement ses commentaires pour en justifier la pertinence.</w:t>
      </w:r>
    </w:p>
    <w:p w:rsidR="000F1093" w:rsidRDefault="000F1093" w:rsidP="000F1093">
      <w:pPr>
        <w:pStyle w:val="Paragraphedeliste"/>
        <w:ind w:left="0"/>
        <w:jc w:val="both"/>
        <w:rPr>
          <w:rFonts w:ascii="Bookman Old Style" w:eastAsia="Batang" w:hAnsi="Bookman Old Style"/>
        </w:rPr>
      </w:pPr>
      <w:r>
        <w:rPr>
          <w:rFonts w:ascii="Bookman Old Style" w:eastAsia="Batang" w:hAnsi="Bookman Old Style"/>
        </w:rPr>
        <w:t>Pour l’aider à mener à bien sa mission, les sites concernés assureront à l’équipe du Cabinet les facilitations et l’accompagnement nécessaires sous diverses formes : mise à disposition d’un local à usage de bureau, accès à l’internet et aux informations nécessaires, appui technique, facilitation des contacts avec les agents et les clients, etc.</w:t>
      </w:r>
    </w:p>
    <w:p w:rsidR="000F1093" w:rsidRDefault="000F1093" w:rsidP="000F1093">
      <w:pPr>
        <w:pStyle w:val="Paragraphedeliste"/>
        <w:ind w:left="0"/>
        <w:jc w:val="both"/>
        <w:rPr>
          <w:rFonts w:ascii="Bookman Old Style" w:eastAsia="Batang" w:hAnsi="Bookman Old Style"/>
        </w:rPr>
      </w:pPr>
      <w:r>
        <w:rPr>
          <w:rFonts w:ascii="Bookman Old Style" w:eastAsia="Batang" w:hAnsi="Bookman Old Style"/>
        </w:rPr>
        <w:t xml:space="preserve">Le Comité de pilotage assurera la supervision de la mission </w:t>
      </w:r>
    </w:p>
    <w:p w:rsidR="000F1093" w:rsidRDefault="000F1093" w:rsidP="000F1093">
      <w:pPr>
        <w:pStyle w:val="Paragraphedeliste"/>
        <w:jc w:val="both"/>
        <w:rPr>
          <w:rFonts w:ascii="Bookman Old Style" w:eastAsia="Batang" w:hAnsi="Bookman Old Style"/>
        </w:rPr>
      </w:pPr>
    </w:p>
    <w:p w:rsidR="000F1093" w:rsidRDefault="000F1093" w:rsidP="000F1093">
      <w:pPr>
        <w:pStyle w:val="Paragraphedeliste"/>
        <w:numPr>
          <w:ilvl w:val="0"/>
          <w:numId w:val="19"/>
        </w:numPr>
        <w:spacing w:after="200" w:line="276" w:lineRule="auto"/>
        <w:jc w:val="both"/>
        <w:rPr>
          <w:rFonts w:ascii="Bookman Old Style" w:eastAsia="Batang" w:hAnsi="Bookman Old Style"/>
          <w:b/>
          <w:u w:val="single"/>
        </w:rPr>
      </w:pPr>
      <w:r>
        <w:rPr>
          <w:rFonts w:ascii="Bookman Old Style" w:eastAsia="Batang" w:hAnsi="Bookman Old Style"/>
          <w:b/>
          <w:u w:val="single"/>
        </w:rPr>
        <w:t xml:space="preserve">PARTICIPATION ET PROFIL </w:t>
      </w:r>
    </w:p>
    <w:p w:rsidR="000F1093" w:rsidRDefault="000F1093" w:rsidP="000F1093">
      <w:pPr>
        <w:jc w:val="both"/>
        <w:rPr>
          <w:rFonts w:ascii="Bookman Old Style" w:eastAsia="Batang" w:hAnsi="Bookman Old Style"/>
        </w:rPr>
      </w:pPr>
      <w:r>
        <w:rPr>
          <w:rFonts w:ascii="Bookman Old Style" w:eastAsia="Batang" w:hAnsi="Bookman Old Style"/>
        </w:rPr>
        <w:t xml:space="preserve">La participation est ouverte à tout Cabinet ou groupement inscrit dans un Ordre Professionnel disposant d’une expérience approfondie dans la conduite </w:t>
      </w:r>
      <w:r>
        <w:rPr>
          <w:rFonts w:ascii="Bookman Old Style" w:eastAsia="Batang" w:hAnsi="Bookman Old Style"/>
        </w:rPr>
        <w:lastRenderedPageBreak/>
        <w:t xml:space="preserve">de missions d'inventaire physique et de contrôle des comptes complétée par une expérience significative dans le secteur des établissements publics. </w:t>
      </w:r>
      <w:r>
        <w:rPr>
          <w:rFonts w:ascii="Bookman Old Style" w:eastAsia="Batang" w:hAnsi="Bookman Old Style"/>
          <w:i/>
          <w:iCs/>
        </w:rPr>
        <w:t>Cependant, pour de raisons d’indépendance et d’impartialité, les offres des cabinets ou groupement ayant réalisé de missions d’audit, de certification et ou de contrôle des comptes de l’INPS au cours de dix dernières seront évaluées non conformes.</w:t>
      </w:r>
    </w:p>
    <w:p w:rsidR="000F1093" w:rsidRDefault="000F1093" w:rsidP="000F1093">
      <w:pPr>
        <w:jc w:val="both"/>
        <w:rPr>
          <w:rFonts w:ascii="Bookman Old Style" w:eastAsia="Batang" w:hAnsi="Bookman Old Style"/>
        </w:rPr>
      </w:pPr>
      <w:r>
        <w:rPr>
          <w:rFonts w:ascii="Bookman Old Style" w:eastAsia="Batang" w:hAnsi="Bookman Old Style"/>
        </w:rPr>
        <w:t xml:space="preserve">Le Cabinet ou groupement devra, pour cette mission, proposer une équipe d’experts ayant une formation en Droit, Comptabilité, gestion et Informatique. </w:t>
      </w:r>
    </w:p>
    <w:p w:rsidR="000F1093" w:rsidRDefault="000F1093" w:rsidP="000F1093">
      <w:pPr>
        <w:jc w:val="both"/>
        <w:rPr>
          <w:rFonts w:ascii="Bookman Old Style" w:eastAsia="Batang" w:hAnsi="Bookman Old Style"/>
        </w:rPr>
      </w:pPr>
      <w:r>
        <w:rPr>
          <w:rFonts w:ascii="Bookman Old Style" w:eastAsia="Batang" w:hAnsi="Bookman Old Style"/>
        </w:rPr>
        <w:t xml:space="preserve">Le consultant doit pouvoir présenter le personnel clé dont la composition est au minimum la suivante : </w:t>
      </w:r>
    </w:p>
    <w:p w:rsidR="000F1093" w:rsidRDefault="000F1093" w:rsidP="000F1093">
      <w:pPr>
        <w:pStyle w:val="Paragraphedeliste"/>
        <w:numPr>
          <w:ilvl w:val="0"/>
          <w:numId w:val="24"/>
        </w:numPr>
        <w:spacing w:after="200" w:line="276" w:lineRule="auto"/>
        <w:jc w:val="both"/>
        <w:rPr>
          <w:rFonts w:ascii="Bookman Old Style" w:eastAsia="Batang" w:hAnsi="Bookman Old Style"/>
          <w:i/>
          <w:iCs/>
        </w:rPr>
      </w:pPr>
      <w:r>
        <w:rPr>
          <w:rFonts w:ascii="Bookman Old Style" w:eastAsia="Batang" w:hAnsi="Bookman Old Style"/>
          <w:i/>
          <w:iCs/>
        </w:rPr>
        <w:t xml:space="preserve">Un Associé responsable expert-comptable diplômé inscrit dans un ordre professionnel et disposant d’au moins dix (10) ans d’expérience professionnelles ;  </w:t>
      </w:r>
    </w:p>
    <w:p w:rsidR="000F1093" w:rsidRDefault="000F1093" w:rsidP="000F1093">
      <w:pPr>
        <w:pStyle w:val="Paragraphedeliste"/>
        <w:numPr>
          <w:ilvl w:val="0"/>
          <w:numId w:val="24"/>
        </w:numPr>
        <w:spacing w:after="200" w:line="276" w:lineRule="auto"/>
        <w:jc w:val="both"/>
        <w:rPr>
          <w:rFonts w:ascii="Bookman Old Style" w:eastAsia="Batang" w:hAnsi="Bookman Old Style"/>
          <w:i/>
          <w:iCs/>
        </w:rPr>
      </w:pPr>
      <w:r>
        <w:rPr>
          <w:rFonts w:ascii="Bookman Old Style" w:eastAsia="Batang" w:hAnsi="Bookman Old Style"/>
          <w:i/>
          <w:iCs/>
        </w:rPr>
        <w:t>Un Directeur de mission expert-comptable diplômé inscrit dans un ordre professionnel disposant d’au moins huit (08) ans d’expérience professionnelle ;</w:t>
      </w:r>
    </w:p>
    <w:p w:rsidR="000F1093" w:rsidRDefault="000F1093" w:rsidP="000F1093">
      <w:pPr>
        <w:pStyle w:val="Paragraphedeliste"/>
        <w:numPr>
          <w:ilvl w:val="0"/>
          <w:numId w:val="24"/>
        </w:numPr>
        <w:spacing w:after="200" w:line="276" w:lineRule="auto"/>
        <w:jc w:val="both"/>
        <w:rPr>
          <w:rFonts w:ascii="Bookman Old Style" w:eastAsia="Batang" w:hAnsi="Bookman Old Style"/>
          <w:i/>
          <w:iCs/>
        </w:rPr>
      </w:pPr>
      <w:r>
        <w:rPr>
          <w:rFonts w:ascii="Bookman Old Style" w:eastAsia="Batang" w:hAnsi="Bookman Old Style"/>
          <w:i/>
          <w:iCs/>
        </w:rPr>
        <w:t>Un Chef de mission, expert-comptable diplômé disposant d’au moins cinq ans (05) ans d’expérience professionnelle ;</w:t>
      </w:r>
    </w:p>
    <w:p w:rsidR="000F1093" w:rsidRDefault="000F1093" w:rsidP="000F1093">
      <w:pPr>
        <w:pStyle w:val="Paragraphedeliste"/>
        <w:numPr>
          <w:ilvl w:val="0"/>
          <w:numId w:val="24"/>
        </w:numPr>
        <w:spacing w:after="200" w:line="276" w:lineRule="auto"/>
        <w:jc w:val="both"/>
        <w:rPr>
          <w:rFonts w:ascii="Bookman Old Style" w:eastAsia="Batang" w:hAnsi="Bookman Old Style"/>
          <w:i/>
          <w:iCs/>
        </w:rPr>
      </w:pPr>
      <w:r>
        <w:rPr>
          <w:rFonts w:ascii="Bookman Old Style" w:eastAsia="Batang" w:hAnsi="Bookman Old Style"/>
          <w:i/>
          <w:iCs/>
        </w:rPr>
        <w:t>Un Spécialiste en informatique BAC+4, disposant d’au moins cinq ans (05) ans d’expérience professionnelle ;</w:t>
      </w:r>
    </w:p>
    <w:p w:rsidR="000F1093" w:rsidRDefault="000F1093" w:rsidP="000F1093">
      <w:pPr>
        <w:pStyle w:val="Paragraphedeliste"/>
        <w:numPr>
          <w:ilvl w:val="0"/>
          <w:numId w:val="24"/>
        </w:numPr>
        <w:spacing w:after="200" w:line="276" w:lineRule="auto"/>
        <w:jc w:val="both"/>
        <w:rPr>
          <w:rFonts w:ascii="Bookman Old Style" w:eastAsia="Batang" w:hAnsi="Bookman Old Style"/>
          <w:i/>
          <w:iCs/>
        </w:rPr>
      </w:pPr>
      <w:r>
        <w:rPr>
          <w:rFonts w:ascii="Bookman Old Style" w:eastAsia="Batang" w:hAnsi="Bookman Old Style"/>
          <w:i/>
          <w:iCs/>
        </w:rPr>
        <w:t>Un Analyste des donnés BAC+4, disposant d’au moins cinq ans (05) ans d’expérience professionnelles ;</w:t>
      </w:r>
    </w:p>
    <w:p w:rsidR="000F1093" w:rsidRDefault="000F1093" w:rsidP="000F1093">
      <w:pPr>
        <w:pStyle w:val="Paragraphedeliste"/>
        <w:numPr>
          <w:ilvl w:val="0"/>
          <w:numId w:val="24"/>
        </w:numPr>
        <w:spacing w:after="200" w:line="276" w:lineRule="auto"/>
        <w:jc w:val="both"/>
        <w:rPr>
          <w:rFonts w:ascii="Bookman Old Style" w:eastAsia="Batang" w:hAnsi="Bookman Old Style"/>
          <w:i/>
          <w:iCs/>
        </w:rPr>
      </w:pPr>
      <w:r>
        <w:rPr>
          <w:rFonts w:ascii="Bookman Old Style" w:eastAsia="Batang" w:hAnsi="Bookman Old Style"/>
          <w:i/>
          <w:iCs/>
        </w:rPr>
        <w:t xml:space="preserve"> Un Comptable matière BAC+3, disposant d’au moins cinq ans (05) ans d’expérience professionnelle ; </w:t>
      </w:r>
    </w:p>
    <w:p w:rsidR="000F1093" w:rsidRPr="00F640F1" w:rsidRDefault="000F1093" w:rsidP="000F1093">
      <w:pPr>
        <w:pStyle w:val="Paragraphedeliste"/>
        <w:numPr>
          <w:ilvl w:val="0"/>
          <w:numId w:val="24"/>
        </w:numPr>
        <w:spacing w:after="200" w:line="276" w:lineRule="auto"/>
        <w:jc w:val="both"/>
        <w:rPr>
          <w:rFonts w:ascii="Bookman Old Style" w:eastAsia="Batang" w:hAnsi="Bookman Old Style"/>
          <w:i/>
          <w:iCs/>
        </w:rPr>
      </w:pPr>
      <w:r>
        <w:rPr>
          <w:rFonts w:ascii="Bookman Old Style" w:eastAsia="Batang" w:hAnsi="Bookman Old Style"/>
          <w:i/>
          <w:iCs/>
        </w:rPr>
        <w:t>Quatre (04) auditeurs qualifiés BAC+2, disposant d’au moins trois ans (03) ans d’expérience professionnelles.</w:t>
      </w:r>
    </w:p>
    <w:p w:rsidR="000A6C99" w:rsidRPr="000A6C99" w:rsidRDefault="000A6C99" w:rsidP="000A6C99">
      <w:pPr>
        <w:pStyle w:val="Paragraphedeliste"/>
        <w:numPr>
          <w:ilvl w:val="0"/>
          <w:numId w:val="27"/>
        </w:numPr>
        <w:spacing w:after="200" w:line="276" w:lineRule="auto"/>
        <w:jc w:val="both"/>
        <w:rPr>
          <w:rFonts w:ascii="Bookman Old Style" w:eastAsia="Batang" w:hAnsi="Bookman Old Style"/>
          <w:b/>
          <w:u w:val="single"/>
        </w:rPr>
      </w:pPr>
      <w:r w:rsidRPr="000A6C99">
        <w:rPr>
          <w:rFonts w:ascii="Bookman Old Style" w:eastAsia="Batang" w:hAnsi="Bookman Old Style"/>
          <w:b/>
          <w:u w:val="single"/>
        </w:rPr>
        <w:t>OFFRE TECHNIQUE</w:t>
      </w:r>
    </w:p>
    <w:p w:rsidR="000F1093" w:rsidRDefault="000F1093" w:rsidP="000F1093">
      <w:pPr>
        <w:pStyle w:val="Paragraphedeliste"/>
        <w:ind w:left="1145"/>
        <w:jc w:val="both"/>
        <w:rPr>
          <w:rFonts w:ascii="Bookman Old Style" w:eastAsia="Batang" w:hAnsi="Bookman Old Style"/>
          <w:b/>
          <w:u w:val="single"/>
        </w:rPr>
      </w:pPr>
    </w:p>
    <w:p w:rsidR="000F1093" w:rsidRDefault="000F1093" w:rsidP="000F1093">
      <w:pPr>
        <w:jc w:val="both"/>
        <w:rPr>
          <w:rFonts w:ascii="Bookman Old Style" w:eastAsia="Batang" w:hAnsi="Bookman Old Style"/>
        </w:rPr>
      </w:pPr>
      <w:r>
        <w:rPr>
          <w:rFonts w:ascii="Bookman Old Style" w:eastAsia="Batang" w:hAnsi="Bookman Old Style"/>
        </w:rPr>
        <w:t>L’offre technique sera rédigée en français et libellée en trois (3) exemplaires dont un original et deux (2) copies.</w:t>
      </w:r>
    </w:p>
    <w:p w:rsidR="000F1093" w:rsidRDefault="000F1093" w:rsidP="000F1093">
      <w:pPr>
        <w:jc w:val="both"/>
        <w:rPr>
          <w:rFonts w:ascii="Bookman Old Style" w:eastAsia="Batang" w:hAnsi="Bookman Old Style"/>
        </w:rPr>
      </w:pPr>
      <w:r>
        <w:rPr>
          <w:rFonts w:ascii="Bookman Old Style" w:eastAsia="Batang" w:hAnsi="Bookman Old Style"/>
        </w:rPr>
        <w:t>Le Soumissionnaire intéressé devra décrire sa compréhension de la mission, sa méthodologie et son programme de travail dans une offre technique comprenant notamment :</w:t>
      </w:r>
    </w:p>
    <w:p w:rsidR="000F1093" w:rsidRDefault="000F1093" w:rsidP="000F1093">
      <w:pPr>
        <w:pStyle w:val="Paragraphedeliste"/>
        <w:numPr>
          <w:ilvl w:val="0"/>
          <w:numId w:val="26"/>
        </w:numPr>
        <w:spacing w:after="200" w:line="276" w:lineRule="auto"/>
        <w:jc w:val="both"/>
        <w:rPr>
          <w:rFonts w:ascii="Bookman Old Style" w:eastAsia="Batang" w:hAnsi="Bookman Old Style"/>
        </w:rPr>
      </w:pPr>
      <w:r>
        <w:rPr>
          <w:rFonts w:ascii="Bookman Old Style" w:eastAsia="Batang" w:hAnsi="Bookman Old Style"/>
        </w:rPr>
        <w:t xml:space="preserve">Une analyse de la compréhension des termes de référence de la mission, </w:t>
      </w:r>
    </w:p>
    <w:p w:rsidR="000F1093" w:rsidRDefault="000F1093" w:rsidP="000F1093">
      <w:pPr>
        <w:pStyle w:val="Paragraphedeliste"/>
        <w:numPr>
          <w:ilvl w:val="0"/>
          <w:numId w:val="26"/>
        </w:numPr>
        <w:spacing w:after="200" w:line="276" w:lineRule="auto"/>
        <w:jc w:val="both"/>
        <w:rPr>
          <w:rFonts w:ascii="Bookman Old Style" w:eastAsia="Batang" w:hAnsi="Bookman Old Style"/>
        </w:rPr>
      </w:pPr>
      <w:r>
        <w:rPr>
          <w:rFonts w:ascii="Bookman Old Style" w:eastAsia="Batang" w:hAnsi="Bookman Old Style"/>
        </w:rPr>
        <w:t>Une présentation détaillée de la méthodologie proposée,</w:t>
      </w:r>
    </w:p>
    <w:p w:rsidR="000F1093" w:rsidRDefault="000F1093" w:rsidP="000F1093">
      <w:pPr>
        <w:pStyle w:val="Paragraphedeliste"/>
        <w:numPr>
          <w:ilvl w:val="0"/>
          <w:numId w:val="26"/>
        </w:numPr>
        <w:spacing w:after="200" w:line="276" w:lineRule="auto"/>
        <w:jc w:val="both"/>
        <w:rPr>
          <w:rFonts w:ascii="Bookman Old Style" w:eastAsia="Batang" w:hAnsi="Bookman Old Style"/>
        </w:rPr>
      </w:pPr>
      <w:r>
        <w:rPr>
          <w:rFonts w:ascii="Bookman Old Style" w:eastAsia="Batang" w:hAnsi="Bookman Old Style"/>
        </w:rPr>
        <w:t>Une présentation détaillée du Soumissionnaire, avec les références du Cabinet,</w:t>
      </w:r>
    </w:p>
    <w:p w:rsidR="000F1093" w:rsidRDefault="000F1093" w:rsidP="000F1093">
      <w:pPr>
        <w:pStyle w:val="Paragraphedeliste"/>
        <w:numPr>
          <w:ilvl w:val="0"/>
          <w:numId w:val="26"/>
        </w:numPr>
        <w:spacing w:after="200" w:line="276" w:lineRule="auto"/>
        <w:jc w:val="both"/>
        <w:rPr>
          <w:rFonts w:ascii="Bookman Old Style" w:eastAsia="Batang" w:hAnsi="Bookman Old Style"/>
        </w:rPr>
      </w:pPr>
      <w:r>
        <w:rPr>
          <w:rFonts w:ascii="Bookman Old Style" w:eastAsia="Batang" w:hAnsi="Bookman Old Style"/>
        </w:rPr>
        <w:t>L’expérience du Cabinet ou groupement validée par une attestation de bonne fin délivrée par l’(les) Institution(s) bénéficiaire (s) avec signature et sceaux officiels. Pour les missions en cours d’exé</w:t>
      </w:r>
      <w:r w:rsidR="0010642E">
        <w:rPr>
          <w:rFonts w:ascii="Bookman Old Style" w:eastAsia="Batang" w:hAnsi="Bookman Old Style"/>
        </w:rPr>
        <w:t>cution, une copie de la page de garde</w:t>
      </w:r>
      <w:r>
        <w:rPr>
          <w:rFonts w:ascii="Bookman Old Style" w:eastAsia="Batang" w:hAnsi="Bookman Old Style"/>
        </w:rPr>
        <w:t xml:space="preserve"> et </w:t>
      </w:r>
      <w:r w:rsidR="0010642E">
        <w:rPr>
          <w:rFonts w:ascii="Bookman Old Style" w:eastAsia="Batang" w:hAnsi="Bookman Old Style"/>
        </w:rPr>
        <w:t xml:space="preserve">la </w:t>
      </w:r>
      <w:r>
        <w:rPr>
          <w:rFonts w:ascii="Bookman Old Style" w:eastAsia="Batang" w:hAnsi="Bookman Old Style"/>
        </w:rPr>
        <w:t>page</w:t>
      </w:r>
      <w:r w:rsidR="0010642E">
        <w:rPr>
          <w:rFonts w:ascii="Bookman Old Style" w:eastAsia="Batang" w:hAnsi="Bookman Old Style"/>
        </w:rPr>
        <w:t xml:space="preserve"> de signature</w:t>
      </w:r>
      <w:r>
        <w:rPr>
          <w:rFonts w:ascii="Bookman Old Style" w:eastAsia="Batang" w:hAnsi="Bookman Old Style"/>
        </w:rPr>
        <w:t xml:space="preserve"> du contrat est requise pour valider l’expérience, </w:t>
      </w:r>
    </w:p>
    <w:p w:rsidR="000F1093" w:rsidRDefault="000F1093" w:rsidP="000F1093">
      <w:pPr>
        <w:pStyle w:val="Paragraphedeliste"/>
        <w:numPr>
          <w:ilvl w:val="0"/>
          <w:numId w:val="26"/>
        </w:numPr>
        <w:spacing w:after="200" w:line="276" w:lineRule="auto"/>
        <w:jc w:val="both"/>
        <w:rPr>
          <w:rFonts w:ascii="Bookman Old Style" w:eastAsia="Batang" w:hAnsi="Bookman Old Style"/>
        </w:rPr>
      </w:pPr>
      <w:r>
        <w:rPr>
          <w:rFonts w:ascii="Bookman Old Style" w:eastAsia="Batang" w:hAnsi="Bookman Old Style"/>
        </w:rPr>
        <w:t>Une présentation succincte des experts proposés et leurs curriculums vitae,</w:t>
      </w:r>
    </w:p>
    <w:p w:rsidR="000F1093" w:rsidRDefault="000F1093" w:rsidP="000F1093">
      <w:pPr>
        <w:pStyle w:val="Paragraphedeliste"/>
        <w:numPr>
          <w:ilvl w:val="0"/>
          <w:numId w:val="26"/>
        </w:numPr>
        <w:spacing w:after="200" w:line="276" w:lineRule="auto"/>
        <w:jc w:val="both"/>
        <w:rPr>
          <w:rFonts w:ascii="Bookman Old Style" w:eastAsia="Batang" w:hAnsi="Bookman Old Style"/>
        </w:rPr>
      </w:pPr>
      <w:r>
        <w:rPr>
          <w:rFonts w:ascii="Bookman Old Style" w:eastAsia="Batang" w:hAnsi="Bookman Old Style"/>
        </w:rPr>
        <w:lastRenderedPageBreak/>
        <w:t xml:space="preserve"> La durée et le planning pour l’exécution de la mission.</w:t>
      </w:r>
    </w:p>
    <w:p w:rsidR="00020A74" w:rsidRPr="00B538BF" w:rsidRDefault="00020A74" w:rsidP="000F1093">
      <w:pPr>
        <w:pStyle w:val="Titre1"/>
        <w:rPr>
          <w:rFonts w:eastAsia="Arial Unicode MS"/>
          <w:color w:val="000000"/>
        </w:rPr>
      </w:pPr>
    </w:p>
    <w:p w:rsidR="00020A74" w:rsidRPr="000F1093" w:rsidRDefault="00020A74" w:rsidP="00020A74">
      <w:pPr>
        <w:jc w:val="both"/>
        <w:rPr>
          <w:rFonts w:eastAsia="Arial Unicode MS"/>
          <w:b/>
          <w:color w:val="000000"/>
        </w:rPr>
      </w:pPr>
      <w:r w:rsidRPr="00B538BF">
        <w:rPr>
          <w:rFonts w:eastAsia="Arial Unicode MS"/>
          <w:color w:val="000000"/>
        </w:rPr>
        <w:t>L’INPS lance la présente manifestation</w:t>
      </w:r>
      <w:r w:rsidR="00F22B46">
        <w:rPr>
          <w:rFonts w:eastAsia="Arial Unicode MS"/>
          <w:color w:val="000000"/>
        </w:rPr>
        <w:t xml:space="preserve"> d’intérêt pour </w:t>
      </w:r>
      <w:r w:rsidR="000F1093" w:rsidRPr="000F1093">
        <w:rPr>
          <w:rFonts w:eastAsia="Arial Unicode MS"/>
          <w:b/>
          <w:color w:val="000000"/>
        </w:rPr>
        <w:t>l’i</w:t>
      </w:r>
      <w:r w:rsidR="00196F97">
        <w:rPr>
          <w:rFonts w:eastAsia="Arial Unicode MS"/>
          <w:b/>
          <w:color w:val="000000"/>
        </w:rPr>
        <w:t>nventaire du patrimoine</w:t>
      </w:r>
      <w:r w:rsidR="000F1093" w:rsidRPr="000F1093">
        <w:rPr>
          <w:rFonts w:eastAsia="Arial Unicode MS"/>
          <w:b/>
          <w:color w:val="000000"/>
        </w:rPr>
        <w:t xml:space="preserve"> de l’Institut National de Prévoyance Sociale</w:t>
      </w:r>
      <w:r w:rsidRPr="000F1093">
        <w:rPr>
          <w:rFonts w:eastAsia="Arial Unicode MS"/>
          <w:b/>
          <w:color w:val="000000"/>
        </w:rPr>
        <w:t xml:space="preserve">. </w:t>
      </w:r>
    </w:p>
    <w:p w:rsidR="00020A74" w:rsidRPr="00B538BF" w:rsidRDefault="00020A74" w:rsidP="00020A74">
      <w:pPr>
        <w:jc w:val="both"/>
        <w:rPr>
          <w:rFonts w:eastAsia="Arial Unicode MS"/>
          <w:color w:val="000000"/>
        </w:rPr>
      </w:pPr>
    </w:p>
    <w:p w:rsidR="00020A74" w:rsidRPr="00B538BF" w:rsidRDefault="00020A74" w:rsidP="00020A74">
      <w:pPr>
        <w:jc w:val="both"/>
        <w:rPr>
          <w:rFonts w:eastAsia="Arial Unicode MS"/>
          <w:color w:val="000000"/>
        </w:rPr>
      </w:pPr>
      <w:r w:rsidRPr="00B538BF">
        <w:rPr>
          <w:rFonts w:eastAsia="Arial Unicode MS"/>
          <w:color w:val="000000"/>
        </w:rPr>
        <w:t xml:space="preserve">Les candidats qualifiés seront ensuite admis à participer à la Demande de Proposition organisée pour sélectionner le </w:t>
      </w:r>
      <w:r>
        <w:rPr>
          <w:rFonts w:eastAsia="Arial Unicode MS"/>
          <w:color w:val="000000"/>
        </w:rPr>
        <w:t>consultant</w:t>
      </w:r>
      <w:r w:rsidRPr="00B538BF">
        <w:rPr>
          <w:rFonts w:eastAsia="Arial Unicode MS"/>
          <w:color w:val="000000"/>
        </w:rPr>
        <w:t xml:space="preserve"> chargé de réaliser les prestations attendues pour une période de </w:t>
      </w:r>
      <w:r>
        <w:rPr>
          <w:rFonts w:eastAsia="Arial Unicode MS"/>
          <w:color w:val="000000"/>
        </w:rPr>
        <w:t>60</w:t>
      </w:r>
      <w:r w:rsidRPr="00B538BF">
        <w:rPr>
          <w:rFonts w:eastAsia="Arial Unicode MS"/>
          <w:color w:val="000000"/>
        </w:rPr>
        <w:t xml:space="preserve"> jours calendaire</w:t>
      </w:r>
      <w:r>
        <w:rPr>
          <w:rFonts w:eastAsia="Arial Unicode MS"/>
          <w:color w:val="000000"/>
        </w:rPr>
        <w:t>s</w:t>
      </w:r>
      <w:r w:rsidRPr="00B538BF">
        <w:rPr>
          <w:rFonts w:eastAsia="Arial Unicode MS"/>
          <w:color w:val="000000"/>
        </w:rPr>
        <w:t xml:space="preserve">. </w:t>
      </w:r>
    </w:p>
    <w:p w:rsidR="00020A74" w:rsidRPr="00B538BF" w:rsidRDefault="00020A74" w:rsidP="00020A74">
      <w:pPr>
        <w:jc w:val="both"/>
        <w:rPr>
          <w:rFonts w:eastAsia="Arial Unicode MS"/>
          <w:color w:val="000000"/>
        </w:rPr>
      </w:pPr>
    </w:p>
    <w:p w:rsidR="00020A74" w:rsidRPr="00B538BF" w:rsidRDefault="00020A74" w:rsidP="00020A74">
      <w:pPr>
        <w:jc w:val="both"/>
        <w:rPr>
          <w:rFonts w:eastAsia="Arial Unicode MS"/>
          <w:color w:val="000000"/>
        </w:rPr>
      </w:pPr>
      <w:r w:rsidRPr="00B538BF">
        <w:rPr>
          <w:rFonts w:eastAsia="Arial Unicode MS"/>
          <w:color w:val="000000"/>
        </w:rPr>
        <w:t>Le candidat fournit un dossier comprenant :</w:t>
      </w:r>
    </w:p>
    <w:p w:rsidR="00020A74" w:rsidRPr="00B538BF" w:rsidRDefault="00020A74" w:rsidP="00020A74">
      <w:pPr>
        <w:pStyle w:val="Paragraphedeliste"/>
        <w:numPr>
          <w:ilvl w:val="0"/>
          <w:numId w:val="1"/>
        </w:numPr>
        <w:spacing w:before="100" w:beforeAutospacing="1" w:after="100" w:afterAutospacing="1"/>
        <w:jc w:val="both"/>
        <w:rPr>
          <w:rFonts w:eastAsia="Arial Unicode MS"/>
          <w:color w:val="000000"/>
        </w:rPr>
      </w:pPr>
      <w:r w:rsidRPr="00B538BF">
        <w:rPr>
          <w:rFonts w:eastAsia="Arial Unicode MS"/>
          <w:color w:val="000000"/>
        </w:rPr>
        <w:t xml:space="preserve">Une </w:t>
      </w:r>
      <w:r w:rsidR="000F1093">
        <w:rPr>
          <w:rFonts w:eastAsia="Arial Unicode MS"/>
          <w:color w:val="000000"/>
        </w:rPr>
        <w:t>présentation détaillée de la méthodologie proposée et une analyse de la compréhension des termes de référence de la mission</w:t>
      </w:r>
      <w:r w:rsidR="009B0A45">
        <w:rPr>
          <w:rFonts w:eastAsia="Arial Unicode MS"/>
          <w:color w:val="000000"/>
        </w:rPr>
        <w:t xml:space="preserve"> </w:t>
      </w:r>
      <w:r w:rsidRPr="00B538BF">
        <w:rPr>
          <w:rFonts w:eastAsia="Arial Unicode MS"/>
          <w:color w:val="000000"/>
        </w:rPr>
        <w:t xml:space="preserve">(un maximum de 03 pages) …….. ……………..30 points;  </w:t>
      </w:r>
    </w:p>
    <w:p w:rsidR="00020A74" w:rsidRPr="00B538BF" w:rsidRDefault="00020A74" w:rsidP="00020A74">
      <w:pPr>
        <w:pStyle w:val="Paragraphedeliste"/>
        <w:numPr>
          <w:ilvl w:val="0"/>
          <w:numId w:val="1"/>
        </w:numPr>
        <w:spacing w:before="100" w:beforeAutospacing="1" w:after="100" w:afterAutospacing="1"/>
        <w:jc w:val="both"/>
        <w:rPr>
          <w:rFonts w:eastAsia="Arial Unicode MS"/>
          <w:color w:val="000000"/>
        </w:rPr>
      </w:pPr>
      <w:r w:rsidRPr="00B538BF">
        <w:rPr>
          <w:rFonts w:eastAsia="Arial Unicode MS"/>
          <w:color w:val="000000"/>
        </w:rPr>
        <w:t>Une présentation</w:t>
      </w:r>
      <w:r w:rsidR="009B0A45">
        <w:rPr>
          <w:rFonts w:eastAsia="Arial Unicode MS"/>
          <w:color w:val="000000"/>
        </w:rPr>
        <w:t xml:space="preserve"> détaillée du soumissionnaire avec les références du cabinet</w:t>
      </w:r>
      <w:r w:rsidRPr="00B538BF">
        <w:rPr>
          <w:rFonts w:eastAsia="Arial Unicode MS"/>
          <w:color w:val="000000"/>
        </w:rPr>
        <w:t>: situation juridique et domaines d'activités en rapport avec le sujet</w:t>
      </w:r>
      <w:r w:rsidR="009B0A45">
        <w:rPr>
          <w:rFonts w:eastAsia="Arial Unicode MS"/>
          <w:color w:val="000000"/>
        </w:rPr>
        <w:t xml:space="preserve"> ; une présentation </w:t>
      </w:r>
      <w:r w:rsidR="000A6C99">
        <w:rPr>
          <w:rFonts w:eastAsia="Arial Unicode MS"/>
          <w:color w:val="000000"/>
        </w:rPr>
        <w:t>succincte</w:t>
      </w:r>
      <w:r w:rsidR="009B0A45">
        <w:rPr>
          <w:rFonts w:eastAsia="Arial Unicode MS"/>
          <w:color w:val="000000"/>
        </w:rPr>
        <w:t xml:space="preserve"> des experts proposés et leurs curriculums vitae</w:t>
      </w:r>
      <w:r w:rsidR="000A6C99">
        <w:rPr>
          <w:rFonts w:eastAsia="Arial Unicode MS"/>
          <w:color w:val="000000"/>
        </w:rPr>
        <w:t xml:space="preserve">; </w:t>
      </w:r>
      <w:r w:rsidR="000A6C99">
        <w:rPr>
          <w:rFonts w:ascii="Bookman Old Style" w:eastAsia="Batang" w:hAnsi="Bookman Old Style"/>
        </w:rPr>
        <w:t>la durée et le planning pour l’exécution de la mission</w:t>
      </w:r>
      <w:r w:rsidR="000A6C99" w:rsidRPr="00B538BF">
        <w:rPr>
          <w:rFonts w:eastAsia="Arial Unicode MS"/>
          <w:color w:val="000000"/>
        </w:rPr>
        <w:t xml:space="preserve"> </w:t>
      </w:r>
      <w:r w:rsidRPr="00B538BF">
        <w:rPr>
          <w:rFonts w:eastAsia="Arial Unicode MS"/>
          <w:color w:val="000000"/>
        </w:rPr>
        <w:t>……………30 points</w:t>
      </w:r>
      <w:r>
        <w:rPr>
          <w:rFonts w:eastAsia="Arial Unicode MS"/>
          <w:color w:val="000000"/>
        </w:rPr>
        <w:t xml:space="preserve"> (voir l</w:t>
      </w:r>
      <w:r w:rsidR="009B0A45">
        <w:rPr>
          <w:rFonts w:eastAsia="Arial Unicode MS"/>
          <w:color w:val="000000"/>
        </w:rPr>
        <w:t>e point 8</w:t>
      </w:r>
      <w:r>
        <w:rPr>
          <w:rFonts w:eastAsia="Arial Unicode MS"/>
          <w:color w:val="000000"/>
        </w:rPr>
        <w:t xml:space="preserve"> de l’avis :</w:t>
      </w:r>
      <w:r w:rsidR="009B0A45">
        <w:rPr>
          <w:rFonts w:eastAsia="Arial Unicode MS"/>
          <w:color w:val="000000"/>
        </w:rPr>
        <w:t xml:space="preserve"> participation et profil</w:t>
      </w:r>
      <w:r>
        <w:rPr>
          <w:rFonts w:eastAsia="Arial Unicode MS"/>
          <w:color w:val="000000"/>
        </w:rPr>
        <w:t>)</w:t>
      </w:r>
      <w:r w:rsidRPr="00B538BF">
        <w:rPr>
          <w:rFonts w:eastAsia="Arial Unicode MS"/>
          <w:color w:val="000000"/>
        </w:rPr>
        <w:t> ;</w:t>
      </w:r>
    </w:p>
    <w:p w:rsidR="00020A74" w:rsidRPr="00B538BF" w:rsidRDefault="00020A74" w:rsidP="00020A74">
      <w:pPr>
        <w:pStyle w:val="Style"/>
        <w:numPr>
          <w:ilvl w:val="0"/>
          <w:numId w:val="1"/>
        </w:numPr>
        <w:spacing w:before="100" w:beforeAutospacing="1" w:after="100" w:afterAutospacing="1"/>
        <w:jc w:val="both"/>
        <w:rPr>
          <w:rFonts w:ascii="Times New Roman" w:eastAsia="Arial Unicode MS" w:hAnsi="Times New Roman" w:cs="Times New Roman"/>
          <w:color w:val="000000"/>
        </w:rPr>
      </w:pPr>
      <w:r w:rsidRPr="00B538BF">
        <w:rPr>
          <w:rFonts w:ascii="Times New Roman" w:eastAsia="Arial Unicode MS" w:hAnsi="Times New Roman" w:cs="Times New Roman"/>
          <w:color w:val="000000"/>
        </w:rPr>
        <w:t>Capacité technique : au moins deux marchés similaires attestées par des documents permettant de justifier sa capacité à exécuter le marché dans les règles de l’art…........................................30 points;</w:t>
      </w:r>
    </w:p>
    <w:p w:rsidR="00020A74" w:rsidRPr="00B538BF" w:rsidRDefault="00020A74" w:rsidP="00020A74">
      <w:pPr>
        <w:pStyle w:val="Style"/>
        <w:numPr>
          <w:ilvl w:val="0"/>
          <w:numId w:val="1"/>
        </w:numPr>
        <w:spacing w:before="100" w:beforeAutospacing="1" w:after="100" w:afterAutospacing="1"/>
        <w:jc w:val="both"/>
        <w:rPr>
          <w:rFonts w:ascii="Times New Roman" w:eastAsia="Arial Unicode MS" w:hAnsi="Times New Roman" w:cs="Times New Roman"/>
          <w:color w:val="000000"/>
        </w:rPr>
      </w:pPr>
      <w:r w:rsidRPr="00B538BF">
        <w:rPr>
          <w:rFonts w:ascii="Times New Roman" w:eastAsia="Arial Unicode MS" w:hAnsi="Times New Roman" w:cs="Times New Roman"/>
          <w:color w:val="000000"/>
        </w:rPr>
        <w:t>Les documents qui prouvent que le candidat est à jour de ses obligations fiscales et parafiscales ……………………………10 points.</w:t>
      </w:r>
    </w:p>
    <w:p w:rsidR="00020A74" w:rsidRPr="00B538BF" w:rsidRDefault="00020A74" w:rsidP="00020A74">
      <w:pPr>
        <w:jc w:val="both"/>
        <w:rPr>
          <w:rFonts w:eastAsia="Arial Unicode MS"/>
          <w:color w:val="000000"/>
        </w:rPr>
      </w:pPr>
      <w:r w:rsidRPr="00B538BF">
        <w:rPr>
          <w:rFonts w:eastAsia="Arial Unicode MS"/>
          <w:color w:val="000000"/>
        </w:rPr>
        <w:t xml:space="preserve">Le dossier de manifestation d’intérêt ainsi constitué doit être déposé au Secrétariat particulier du Directeur Général de l’INPS, au 3ème étage de l’immeuble de la Direction Générale sise Square Patrice Lumumba, au plus tard </w:t>
      </w:r>
      <w:r w:rsidRPr="00381AEE">
        <w:rPr>
          <w:rFonts w:eastAsia="Arial Unicode MS"/>
          <w:color w:val="000000"/>
        </w:rPr>
        <w:t>le</w:t>
      </w:r>
      <w:r w:rsidRPr="00381AEE">
        <w:rPr>
          <w:rFonts w:eastAsia="Arial Unicode MS"/>
          <w:b/>
          <w:color w:val="000000"/>
        </w:rPr>
        <w:t xml:space="preserve"> </w:t>
      </w:r>
      <w:r w:rsidR="00BF65C2">
        <w:rPr>
          <w:rFonts w:eastAsia="Arial Unicode MS"/>
          <w:b/>
          <w:color w:val="000000"/>
        </w:rPr>
        <w:t>Mardi</w:t>
      </w:r>
      <w:r w:rsidR="00AC2E42">
        <w:rPr>
          <w:rFonts w:eastAsia="Arial Unicode MS"/>
          <w:b/>
          <w:color w:val="000000"/>
        </w:rPr>
        <w:t xml:space="preserve"> </w:t>
      </w:r>
      <w:r w:rsidR="00AC2E42" w:rsidRPr="00381AEE">
        <w:rPr>
          <w:rFonts w:eastAsia="Arial Unicode MS"/>
          <w:b/>
          <w:color w:val="000000"/>
        </w:rPr>
        <w:t xml:space="preserve"> </w:t>
      </w:r>
      <w:r w:rsidR="00C6494A">
        <w:rPr>
          <w:rFonts w:eastAsia="Arial Unicode MS"/>
          <w:b/>
          <w:color w:val="000000"/>
        </w:rPr>
        <w:t xml:space="preserve">12 Janvier </w:t>
      </w:r>
      <w:r w:rsidR="0052005E">
        <w:rPr>
          <w:rFonts w:eastAsia="Arial Unicode MS"/>
          <w:b/>
          <w:color w:val="000000"/>
        </w:rPr>
        <w:t>2021</w:t>
      </w:r>
      <w:r w:rsidR="00C6494A" w:rsidRPr="00381AEE">
        <w:rPr>
          <w:rFonts w:eastAsia="Arial Unicode MS"/>
          <w:b/>
          <w:color w:val="000000"/>
        </w:rPr>
        <w:t xml:space="preserve"> </w:t>
      </w:r>
      <w:r w:rsidRPr="00381AEE">
        <w:rPr>
          <w:rFonts w:eastAsia="Arial Unicode MS"/>
          <w:b/>
          <w:color w:val="000000"/>
        </w:rPr>
        <w:t>à 13 heures</w:t>
      </w:r>
      <w:r w:rsidRPr="00B538BF">
        <w:rPr>
          <w:rFonts w:eastAsia="Arial Unicode MS"/>
          <w:color w:val="000000"/>
        </w:rPr>
        <w:t xml:space="preserve"> sous pli fermé.  </w:t>
      </w:r>
    </w:p>
    <w:p w:rsidR="00020A74" w:rsidRPr="00B538BF" w:rsidRDefault="00020A74" w:rsidP="00020A74">
      <w:pPr>
        <w:jc w:val="both"/>
        <w:rPr>
          <w:rFonts w:eastAsia="Arial Unicode MS"/>
          <w:color w:val="000000"/>
        </w:rPr>
      </w:pPr>
    </w:p>
    <w:p w:rsidR="00020A74" w:rsidRPr="00B538BF" w:rsidRDefault="00020A74" w:rsidP="00020A74">
      <w:pPr>
        <w:jc w:val="both"/>
        <w:rPr>
          <w:rFonts w:eastAsia="Arial Unicode MS"/>
          <w:color w:val="000000"/>
        </w:rPr>
      </w:pPr>
      <w:r w:rsidRPr="00B538BF">
        <w:rPr>
          <w:rFonts w:eastAsia="Arial Unicode MS"/>
          <w:color w:val="000000"/>
        </w:rPr>
        <w:t xml:space="preserve">L’ouverture des plis aura lieu le </w:t>
      </w:r>
      <w:r w:rsidR="00BF65C2">
        <w:rPr>
          <w:rFonts w:eastAsia="Arial Unicode MS"/>
          <w:b/>
          <w:color w:val="000000"/>
        </w:rPr>
        <w:t xml:space="preserve">Mardi </w:t>
      </w:r>
      <w:r w:rsidR="00BF65C2" w:rsidRPr="00381AEE">
        <w:rPr>
          <w:rFonts w:eastAsia="Arial Unicode MS"/>
          <w:b/>
          <w:color w:val="000000"/>
        </w:rPr>
        <w:t xml:space="preserve"> </w:t>
      </w:r>
      <w:r w:rsidR="00196F97">
        <w:rPr>
          <w:rFonts w:eastAsia="Arial Unicode MS"/>
          <w:b/>
          <w:color w:val="000000"/>
        </w:rPr>
        <w:t>12 Janvier</w:t>
      </w:r>
      <w:r w:rsidR="00BF65C2">
        <w:rPr>
          <w:rFonts w:eastAsia="Arial Unicode MS"/>
          <w:b/>
          <w:color w:val="000000"/>
        </w:rPr>
        <w:t xml:space="preserve"> </w:t>
      </w:r>
      <w:r w:rsidR="00BF65C2" w:rsidRPr="00381AEE">
        <w:rPr>
          <w:rFonts w:eastAsia="Arial Unicode MS"/>
          <w:b/>
          <w:color w:val="000000"/>
        </w:rPr>
        <w:t>202</w:t>
      </w:r>
      <w:r w:rsidR="0052005E">
        <w:rPr>
          <w:rFonts w:eastAsia="Arial Unicode MS"/>
          <w:b/>
          <w:color w:val="000000"/>
        </w:rPr>
        <w:t>1</w:t>
      </w:r>
      <w:r w:rsidR="00BF65C2" w:rsidRPr="00381AEE">
        <w:rPr>
          <w:rFonts w:eastAsia="Arial Unicode MS"/>
          <w:b/>
          <w:color w:val="000000"/>
        </w:rPr>
        <w:t xml:space="preserve"> </w:t>
      </w:r>
      <w:r w:rsidRPr="00381AEE">
        <w:rPr>
          <w:rFonts w:eastAsia="Arial Unicode MS"/>
          <w:b/>
          <w:color w:val="000000"/>
        </w:rPr>
        <w:t>à 13 heures</w:t>
      </w:r>
      <w:r w:rsidRPr="00B538BF">
        <w:rPr>
          <w:rFonts w:eastAsia="Arial Unicode MS"/>
          <w:color w:val="000000"/>
        </w:rPr>
        <w:t xml:space="preserve"> dans la salle du Conseil d’Administration de l’INPS en présence des candidats qui le souhaiteront.</w:t>
      </w:r>
    </w:p>
    <w:p w:rsidR="00020A74" w:rsidRPr="00B538BF" w:rsidRDefault="00020A74" w:rsidP="00020A74">
      <w:pPr>
        <w:jc w:val="both"/>
        <w:rPr>
          <w:rFonts w:eastAsia="Arial Unicode MS"/>
          <w:color w:val="000000"/>
        </w:rPr>
      </w:pPr>
    </w:p>
    <w:p w:rsidR="00020A74" w:rsidRPr="00B538BF" w:rsidRDefault="00020A74" w:rsidP="00020A74">
      <w:pPr>
        <w:jc w:val="both"/>
        <w:rPr>
          <w:rFonts w:eastAsia="Arial Unicode MS"/>
          <w:color w:val="000000"/>
        </w:rPr>
      </w:pPr>
      <w:r w:rsidRPr="00B538BF">
        <w:rPr>
          <w:rFonts w:eastAsia="Arial Unicode MS"/>
          <w:color w:val="000000"/>
        </w:rPr>
        <w:t xml:space="preserve">Les six candidats les mieux placés seront par la suite invités à faire des offres techniques et financières sur la base des Termes De Référence (TDR) définitifs qu’ils recevront à cet effet. </w:t>
      </w:r>
    </w:p>
    <w:p w:rsidR="00020A74" w:rsidRPr="00B538BF" w:rsidRDefault="00020A74" w:rsidP="00020A74">
      <w:pPr>
        <w:jc w:val="both"/>
        <w:rPr>
          <w:rFonts w:eastAsia="Arial Unicode MS"/>
          <w:color w:val="000000"/>
        </w:rPr>
      </w:pPr>
    </w:p>
    <w:p w:rsidR="00020A74" w:rsidRPr="00B538BF" w:rsidRDefault="00020A74" w:rsidP="00020A74">
      <w:pPr>
        <w:jc w:val="both"/>
        <w:rPr>
          <w:rFonts w:eastAsia="Arial Unicode MS"/>
          <w:color w:val="000000"/>
        </w:rPr>
      </w:pPr>
    </w:p>
    <w:p w:rsidR="00020A74" w:rsidRPr="00B538BF" w:rsidRDefault="00020A74" w:rsidP="00020A74">
      <w:pPr>
        <w:jc w:val="both"/>
        <w:rPr>
          <w:w w:val="105"/>
        </w:rPr>
      </w:pPr>
      <w:r w:rsidRPr="00B538BF">
        <w:rPr>
          <w:w w:val="105"/>
        </w:rPr>
        <w:t xml:space="preserve"> </w:t>
      </w:r>
    </w:p>
    <w:p w:rsidR="00020A74" w:rsidRDefault="00020A74" w:rsidP="00020A74">
      <w:pPr>
        <w:jc w:val="both"/>
        <w:rPr>
          <w:w w:val="105"/>
          <w:sz w:val="28"/>
          <w:szCs w:val="28"/>
        </w:rPr>
      </w:pPr>
    </w:p>
    <w:p w:rsidR="00C6494A" w:rsidRDefault="00C6494A" w:rsidP="00020A74">
      <w:pPr>
        <w:jc w:val="both"/>
        <w:rPr>
          <w:w w:val="105"/>
          <w:sz w:val="28"/>
          <w:szCs w:val="28"/>
        </w:rPr>
      </w:pPr>
    </w:p>
    <w:p w:rsidR="00020A74" w:rsidRPr="00DE7E93" w:rsidRDefault="00020A74" w:rsidP="00020A74">
      <w:pPr>
        <w:jc w:val="both"/>
        <w:rPr>
          <w:w w:val="105"/>
          <w:sz w:val="28"/>
          <w:szCs w:val="28"/>
        </w:rPr>
      </w:pPr>
    </w:p>
    <w:p w:rsidR="00020A74" w:rsidRPr="005F580B" w:rsidRDefault="00020A74" w:rsidP="00020A74">
      <w:pPr>
        <w:jc w:val="both"/>
        <w:rPr>
          <w:b/>
          <w:sz w:val="28"/>
          <w:szCs w:val="28"/>
          <w:u w:val="single"/>
        </w:rPr>
      </w:pPr>
      <w:r w:rsidRPr="00152A3B">
        <w:rPr>
          <w:rFonts w:ascii="Verdana" w:hAnsi="Verdana"/>
          <w:b/>
          <w:bCs/>
          <w14:shadow w14:blurRad="50800" w14:dist="38100" w14:dir="2700000" w14:sx="100000" w14:sy="100000" w14:kx="0" w14:ky="0" w14:algn="tl">
            <w14:srgbClr w14:val="000000">
              <w14:alpha w14:val="60000"/>
            </w14:srgbClr>
          </w14:shadow>
        </w:rPr>
        <w:t xml:space="preserve">                                                         </w:t>
      </w:r>
      <w:r w:rsidRPr="005F580B">
        <w:rPr>
          <w:b/>
          <w:sz w:val="28"/>
          <w:szCs w:val="28"/>
          <w:u w:val="single"/>
        </w:rPr>
        <w:t xml:space="preserve">SIDIBE ZAMILATOU CISSE                                  </w:t>
      </w:r>
    </w:p>
    <w:p w:rsidR="00020A74" w:rsidRPr="00107D58" w:rsidRDefault="00020A74" w:rsidP="00020A74">
      <w:pPr>
        <w:jc w:val="both"/>
        <w:rPr>
          <w:rFonts w:ascii="Calibri" w:hAnsi="Calibri"/>
          <w:b/>
        </w:rPr>
      </w:pPr>
      <w:r w:rsidRPr="005F580B">
        <w:rPr>
          <w:b/>
          <w:sz w:val="28"/>
          <w:szCs w:val="28"/>
        </w:rPr>
        <w:t xml:space="preserve">                                       </w:t>
      </w:r>
      <w:r>
        <w:rPr>
          <w:b/>
          <w:sz w:val="28"/>
          <w:szCs w:val="28"/>
        </w:rPr>
        <w:t xml:space="preserve">                            </w:t>
      </w:r>
      <w:r w:rsidRPr="005F580B">
        <w:rPr>
          <w:b/>
          <w:sz w:val="28"/>
          <w:szCs w:val="28"/>
        </w:rPr>
        <w:t>Chevalier de l’Ordre National</w:t>
      </w:r>
    </w:p>
    <w:p w:rsidR="00020A74" w:rsidRDefault="00020A74" w:rsidP="00020A74">
      <w:pPr>
        <w:jc w:val="both"/>
        <w:rPr>
          <w:rFonts w:ascii="Arial" w:eastAsia="Arial" w:hAnsi="Arial" w:cs="Arial"/>
          <w:b/>
          <w:color w:val="00B050"/>
          <w:sz w:val="18"/>
        </w:rPr>
      </w:pPr>
    </w:p>
    <w:p w:rsidR="00020A74" w:rsidRDefault="00020A74" w:rsidP="00020A74">
      <w:pPr>
        <w:jc w:val="both"/>
        <w:rPr>
          <w:rFonts w:ascii="Arial" w:eastAsia="Arial" w:hAnsi="Arial" w:cs="Arial"/>
          <w:b/>
          <w:color w:val="00B050"/>
          <w:sz w:val="18"/>
        </w:rPr>
      </w:pPr>
    </w:p>
    <w:p w:rsidR="00180677" w:rsidRDefault="00653525"/>
    <w:sectPr w:rsidR="001806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8pt;height:11.8pt" o:bullet="t">
        <v:imagedata r:id="rId1" o:title="clip_image001"/>
      </v:shape>
    </w:pict>
  </w:numPicBullet>
  <w:abstractNum w:abstractNumId="0">
    <w:nsid w:val="0712753E"/>
    <w:multiLevelType w:val="hybridMultilevel"/>
    <w:tmpl w:val="288CDF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CD371D"/>
    <w:multiLevelType w:val="hybridMultilevel"/>
    <w:tmpl w:val="32E84FE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A921E1"/>
    <w:multiLevelType w:val="hybridMultilevel"/>
    <w:tmpl w:val="BF245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C24E75"/>
    <w:multiLevelType w:val="hybridMultilevel"/>
    <w:tmpl w:val="5DE0E64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84D6E5F"/>
    <w:multiLevelType w:val="hybridMultilevel"/>
    <w:tmpl w:val="0122CB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91C7C4B"/>
    <w:multiLevelType w:val="hybridMultilevel"/>
    <w:tmpl w:val="BFB415F4"/>
    <w:lvl w:ilvl="0" w:tplc="DDB61F8A">
      <w:numFmt w:val="bullet"/>
      <w:lvlText w:val="-"/>
      <w:lvlJc w:val="left"/>
      <w:pPr>
        <w:ind w:left="795" w:hanging="360"/>
      </w:pPr>
      <w:rPr>
        <w:rFonts w:ascii="Calibri" w:eastAsiaTheme="minorHAnsi" w:hAnsi="Calibri" w:cs="Calibri" w:hint="default"/>
      </w:rPr>
    </w:lvl>
    <w:lvl w:ilvl="1" w:tplc="040C0003">
      <w:start w:val="1"/>
      <w:numFmt w:val="bullet"/>
      <w:lvlText w:val="o"/>
      <w:lvlJc w:val="left"/>
      <w:pPr>
        <w:ind w:left="1515" w:hanging="360"/>
      </w:pPr>
      <w:rPr>
        <w:rFonts w:ascii="Courier New" w:hAnsi="Courier New" w:cs="Courier New" w:hint="default"/>
      </w:rPr>
    </w:lvl>
    <w:lvl w:ilvl="2" w:tplc="040C0005">
      <w:start w:val="1"/>
      <w:numFmt w:val="bullet"/>
      <w:lvlText w:val=""/>
      <w:lvlJc w:val="left"/>
      <w:pPr>
        <w:ind w:left="2235" w:hanging="360"/>
      </w:pPr>
      <w:rPr>
        <w:rFonts w:ascii="Wingdings" w:hAnsi="Wingdings" w:hint="default"/>
      </w:rPr>
    </w:lvl>
    <w:lvl w:ilvl="3" w:tplc="040C0001">
      <w:start w:val="1"/>
      <w:numFmt w:val="bullet"/>
      <w:lvlText w:val=""/>
      <w:lvlJc w:val="left"/>
      <w:pPr>
        <w:ind w:left="2955" w:hanging="360"/>
      </w:pPr>
      <w:rPr>
        <w:rFonts w:ascii="Symbol" w:hAnsi="Symbol" w:hint="default"/>
      </w:rPr>
    </w:lvl>
    <w:lvl w:ilvl="4" w:tplc="040C0003">
      <w:start w:val="1"/>
      <w:numFmt w:val="bullet"/>
      <w:lvlText w:val="o"/>
      <w:lvlJc w:val="left"/>
      <w:pPr>
        <w:ind w:left="3675" w:hanging="360"/>
      </w:pPr>
      <w:rPr>
        <w:rFonts w:ascii="Courier New" w:hAnsi="Courier New" w:cs="Courier New" w:hint="default"/>
      </w:rPr>
    </w:lvl>
    <w:lvl w:ilvl="5" w:tplc="040C0005">
      <w:start w:val="1"/>
      <w:numFmt w:val="bullet"/>
      <w:lvlText w:val=""/>
      <w:lvlJc w:val="left"/>
      <w:pPr>
        <w:ind w:left="4395" w:hanging="360"/>
      </w:pPr>
      <w:rPr>
        <w:rFonts w:ascii="Wingdings" w:hAnsi="Wingdings" w:hint="default"/>
      </w:rPr>
    </w:lvl>
    <w:lvl w:ilvl="6" w:tplc="040C0001">
      <w:start w:val="1"/>
      <w:numFmt w:val="bullet"/>
      <w:lvlText w:val=""/>
      <w:lvlJc w:val="left"/>
      <w:pPr>
        <w:ind w:left="5115" w:hanging="360"/>
      </w:pPr>
      <w:rPr>
        <w:rFonts w:ascii="Symbol" w:hAnsi="Symbol" w:hint="default"/>
      </w:rPr>
    </w:lvl>
    <w:lvl w:ilvl="7" w:tplc="040C0003">
      <w:start w:val="1"/>
      <w:numFmt w:val="bullet"/>
      <w:lvlText w:val="o"/>
      <w:lvlJc w:val="left"/>
      <w:pPr>
        <w:ind w:left="5835" w:hanging="360"/>
      </w:pPr>
      <w:rPr>
        <w:rFonts w:ascii="Courier New" w:hAnsi="Courier New" w:cs="Courier New" w:hint="default"/>
      </w:rPr>
    </w:lvl>
    <w:lvl w:ilvl="8" w:tplc="040C0005">
      <w:start w:val="1"/>
      <w:numFmt w:val="bullet"/>
      <w:lvlText w:val=""/>
      <w:lvlJc w:val="left"/>
      <w:pPr>
        <w:ind w:left="6555" w:hanging="360"/>
      </w:pPr>
      <w:rPr>
        <w:rFonts w:ascii="Wingdings" w:hAnsi="Wingdings" w:hint="default"/>
      </w:rPr>
    </w:lvl>
  </w:abstractNum>
  <w:abstractNum w:abstractNumId="6">
    <w:nsid w:val="1E990CAC"/>
    <w:multiLevelType w:val="hybridMultilevel"/>
    <w:tmpl w:val="C0528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56D05FD"/>
    <w:multiLevelType w:val="hybridMultilevel"/>
    <w:tmpl w:val="1FDA61EC"/>
    <w:lvl w:ilvl="0" w:tplc="BC30F134">
      <w:start w:val="1"/>
      <w:numFmt w:val="upperRoman"/>
      <w:lvlText w:val="%1-"/>
      <w:lvlJc w:val="left"/>
      <w:pPr>
        <w:ind w:left="1145" w:hanging="72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nsid w:val="29C4065A"/>
    <w:multiLevelType w:val="hybridMultilevel"/>
    <w:tmpl w:val="A9F47D7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nsid w:val="306E295A"/>
    <w:multiLevelType w:val="hybridMultilevel"/>
    <w:tmpl w:val="34DC2E9E"/>
    <w:lvl w:ilvl="0" w:tplc="D0225826">
      <w:start w:val="1"/>
      <w:numFmt w:val="decimal"/>
      <w:lvlText w:val="%1."/>
      <w:lvlJc w:val="left"/>
      <w:pPr>
        <w:ind w:left="720" w:hanging="360"/>
      </w:pPr>
      <w:rPr>
        <w:rFonts w:ascii="Times New Roman" w:eastAsia="Times New Roman" w:hAnsi="Times New Roman" w:cs="Times New Roman" w:hint="default"/>
        <w:b w:val="0"/>
        <w:color w:val="auto"/>
        <w:w w:val="105"/>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57A353E"/>
    <w:multiLevelType w:val="hybridMultilevel"/>
    <w:tmpl w:val="B80E616C"/>
    <w:lvl w:ilvl="0" w:tplc="17160406">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8BB2F89"/>
    <w:multiLevelType w:val="hybridMultilevel"/>
    <w:tmpl w:val="B9545EDE"/>
    <w:lvl w:ilvl="0" w:tplc="932C69F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3C4900E5"/>
    <w:multiLevelType w:val="hybridMultilevel"/>
    <w:tmpl w:val="EC5C37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1D9764D"/>
    <w:multiLevelType w:val="hybridMultilevel"/>
    <w:tmpl w:val="7E48ECD6"/>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4">
    <w:nsid w:val="44930B0A"/>
    <w:multiLevelType w:val="hybridMultilevel"/>
    <w:tmpl w:val="6A663CAE"/>
    <w:lvl w:ilvl="0" w:tplc="040C0001">
      <w:start w:val="1"/>
      <w:numFmt w:val="bullet"/>
      <w:lvlText w:val=""/>
      <w:lvlJc w:val="left"/>
      <w:pPr>
        <w:ind w:left="2139" w:hanging="360"/>
      </w:pPr>
      <w:rPr>
        <w:rFonts w:ascii="Symbol" w:hAnsi="Symbol" w:hint="default"/>
      </w:rPr>
    </w:lvl>
    <w:lvl w:ilvl="1" w:tplc="040C0003">
      <w:start w:val="1"/>
      <w:numFmt w:val="bullet"/>
      <w:lvlText w:val="o"/>
      <w:lvlJc w:val="left"/>
      <w:pPr>
        <w:ind w:left="2859" w:hanging="360"/>
      </w:pPr>
      <w:rPr>
        <w:rFonts w:ascii="Courier New" w:hAnsi="Courier New" w:cs="Courier New" w:hint="default"/>
      </w:rPr>
    </w:lvl>
    <w:lvl w:ilvl="2" w:tplc="040C0005">
      <w:start w:val="1"/>
      <w:numFmt w:val="bullet"/>
      <w:lvlText w:val=""/>
      <w:lvlJc w:val="left"/>
      <w:pPr>
        <w:ind w:left="3579" w:hanging="360"/>
      </w:pPr>
      <w:rPr>
        <w:rFonts w:ascii="Wingdings" w:hAnsi="Wingdings" w:hint="default"/>
      </w:rPr>
    </w:lvl>
    <w:lvl w:ilvl="3" w:tplc="040C0001">
      <w:start w:val="1"/>
      <w:numFmt w:val="bullet"/>
      <w:lvlText w:val=""/>
      <w:lvlJc w:val="left"/>
      <w:pPr>
        <w:ind w:left="4299" w:hanging="360"/>
      </w:pPr>
      <w:rPr>
        <w:rFonts w:ascii="Symbol" w:hAnsi="Symbol" w:hint="default"/>
      </w:rPr>
    </w:lvl>
    <w:lvl w:ilvl="4" w:tplc="040C0003">
      <w:start w:val="1"/>
      <w:numFmt w:val="bullet"/>
      <w:lvlText w:val="o"/>
      <w:lvlJc w:val="left"/>
      <w:pPr>
        <w:ind w:left="5019" w:hanging="360"/>
      </w:pPr>
      <w:rPr>
        <w:rFonts w:ascii="Courier New" w:hAnsi="Courier New" w:cs="Courier New" w:hint="default"/>
      </w:rPr>
    </w:lvl>
    <w:lvl w:ilvl="5" w:tplc="040C0005">
      <w:start w:val="1"/>
      <w:numFmt w:val="bullet"/>
      <w:lvlText w:val=""/>
      <w:lvlJc w:val="left"/>
      <w:pPr>
        <w:ind w:left="5739" w:hanging="360"/>
      </w:pPr>
      <w:rPr>
        <w:rFonts w:ascii="Wingdings" w:hAnsi="Wingdings" w:hint="default"/>
      </w:rPr>
    </w:lvl>
    <w:lvl w:ilvl="6" w:tplc="040C0001">
      <w:start w:val="1"/>
      <w:numFmt w:val="bullet"/>
      <w:lvlText w:val=""/>
      <w:lvlJc w:val="left"/>
      <w:pPr>
        <w:ind w:left="6459" w:hanging="360"/>
      </w:pPr>
      <w:rPr>
        <w:rFonts w:ascii="Symbol" w:hAnsi="Symbol" w:hint="default"/>
      </w:rPr>
    </w:lvl>
    <w:lvl w:ilvl="7" w:tplc="040C0003">
      <w:start w:val="1"/>
      <w:numFmt w:val="bullet"/>
      <w:lvlText w:val="o"/>
      <w:lvlJc w:val="left"/>
      <w:pPr>
        <w:ind w:left="7179" w:hanging="360"/>
      </w:pPr>
      <w:rPr>
        <w:rFonts w:ascii="Courier New" w:hAnsi="Courier New" w:cs="Courier New" w:hint="default"/>
      </w:rPr>
    </w:lvl>
    <w:lvl w:ilvl="8" w:tplc="040C0005">
      <w:start w:val="1"/>
      <w:numFmt w:val="bullet"/>
      <w:lvlText w:val=""/>
      <w:lvlJc w:val="left"/>
      <w:pPr>
        <w:ind w:left="7899" w:hanging="360"/>
      </w:pPr>
      <w:rPr>
        <w:rFonts w:ascii="Wingdings" w:hAnsi="Wingdings" w:hint="default"/>
      </w:rPr>
    </w:lvl>
  </w:abstractNum>
  <w:abstractNum w:abstractNumId="15">
    <w:nsid w:val="486F1618"/>
    <w:multiLevelType w:val="hybridMultilevel"/>
    <w:tmpl w:val="0D804470"/>
    <w:lvl w:ilvl="0" w:tplc="FF9A8258">
      <w:numFmt w:val="bullet"/>
      <w:lvlText w:val="-"/>
      <w:lvlJc w:val="left"/>
      <w:pPr>
        <w:ind w:left="1080" w:hanging="360"/>
      </w:pPr>
      <w:rPr>
        <w:rFonts w:ascii="Arial" w:eastAsia="Calibri"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nsid w:val="4AF90225"/>
    <w:multiLevelType w:val="hybridMultilevel"/>
    <w:tmpl w:val="0338F1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EEF6BDD"/>
    <w:multiLevelType w:val="hybridMultilevel"/>
    <w:tmpl w:val="7D18A4C0"/>
    <w:lvl w:ilvl="0" w:tplc="A2D8A146">
      <w:numFmt w:val="bullet"/>
      <w:lvlText w:val="-"/>
      <w:lvlJc w:val="left"/>
      <w:pPr>
        <w:ind w:left="780" w:hanging="360"/>
      </w:pPr>
      <w:rPr>
        <w:rFonts w:ascii="Times New Roman" w:eastAsia="Times New Roman"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8">
    <w:nsid w:val="59362701"/>
    <w:multiLevelType w:val="hybridMultilevel"/>
    <w:tmpl w:val="634857BC"/>
    <w:lvl w:ilvl="0" w:tplc="A51CB2CC">
      <w:start w:val="1"/>
      <w:numFmt w:val="decimal"/>
      <w:pStyle w:val="Listecouleur-Accent11"/>
      <w:lvlText w:val="%1."/>
      <w:lvlJc w:val="left"/>
      <w:pPr>
        <w:ind w:left="720" w:hanging="360"/>
      </w:pPr>
      <w:rPr>
        <w:rFonts w:ascii="Arial" w:hAnsi="Arial" w:cs="Arial" w:hint="default"/>
        <w:sz w:val="24"/>
      </w:rPr>
    </w:lvl>
    <w:lvl w:ilvl="1" w:tplc="A51CB2CC">
      <w:start w:val="1"/>
      <w:numFmt w:val="decimal"/>
      <w:lvlText w:val="%2."/>
      <w:lvlJc w:val="left"/>
      <w:pPr>
        <w:ind w:left="1440" w:hanging="360"/>
      </w:pPr>
      <w:rPr>
        <w:rFonts w:ascii="Arial" w:hAnsi="Arial" w:cs="Arial" w:hint="default"/>
        <w:sz w:val="24"/>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A802E76"/>
    <w:multiLevelType w:val="hybridMultilevel"/>
    <w:tmpl w:val="9564A890"/>
    <w:lvl w:ilvl="0" w:tplc="EAF690CE">
      <w:start w:val="9"/>
      <w:numFmt w:val="upperRoman"/>
      <w:lvlText w:val="%1."/>
      <w:lvlJc w:val="left"/>
      <w:pPr>
        <w:ind w:left="1155" w:hanging="720"/>
      </w:pPr>
      <w:rPr>
        <w:rFonts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20">
    <w:nsid w:val="5C597EE8"/>
    <w:multiLevelType w:val="hybridMultilevel"/>
    <w:tmpl w:val="D5825A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D3334A0"/>
    <w:multiLevelType w:val="hybridMultilevel"/>
    <w:tmpl w:val="500C34D6"/>
    <w:lvl w:ilvl="0" w:tplc="21EA70CA">
      <w:start w:val="1"/>
      <w:numFmt w:val="decimal"/>
      <w:lvlText w:val="%1."/>
      <w:lvlJc w:val="left"/>
      <w:pPr>
        <w:ind w:left="435" w:hanging="360"/>
      </w:pPr>
    </w:lvl>
    <w:lvl w:ilvl="1" w:tplc="040C0019">
      <w:start w:val="1"/>
      <w:numFmt w:val="lowerLetter"/>
      <w:lvlText w:val="%2."/>
      <w:lvlJc w:val="left"/>
      <w:pPr>
        <w:ind w:left="1155" w:hanging="360"/>
      </w:pPr>
    </w:lvl>
    <w:lvl w:ilvl="2" w:tplc="040C001B">
      <w:start w:val="1"/>
      <w:numFmt w:val="lowerRoman"/>
      <w:lvlText w:val="%3."/>
      <w:lvlJc w:val="right"/>
      <w:pPr>
        <w:ind w:left="1875" w:hanging="180"/>
      </w:pPr>
    </w:lvl>
    <w:lvl w:ilvl="3" w:tplc="040C000F">
      <w:start w:val="1"/>
      <w:numFmt w:val="decimal"/>
      <w:lvlText w:val="%4."/>
      <w:lvlJc w:val="left"/>
      <w:pPr>
        <w:ind w:left="2595" w:hanging="360"/>
      </w:pPr>
    </w:lvl>
    <w:lvl w:ilvl="4" w:tplc="040C0019">
      <w:start w:val="1"/>
      <w:numFmt w:val="lowerLetter"/>
      <w:lvlText w:val="%5."/>
      <w:lvlJc w:val="left"/>
      <w:pPr>
        <w:ind w:left="3315" w:hanging="360"/>
      </w:pPr>
    </w:lvl>
    <w:lvl w:ilvl="5" w:tplc="040C001B">
      <w:start w:val="1"/>
      <w:numFmt w:val="lowerRoman"/>
      <w:lvlText w:val="%6."/>
      <w:lvlJc w:val="right"/>
      <w:pPr>
        <w:ind w:left="4035" w:hanging="180"/>
      </w:pPr>
    </w:lvl>
    <w:lvl w:ilvl="6" w:tplc="040C000F">
      <w:start w:val="1"/>
      <w:numFmt w:val="decimal"/>
      <w:lvlText w:val="%7."/>
      <w:lvlJc w:val="left"/>
      <w:pPr>
        <w:ind w:left="4755" w:hanging="360"/>
      </w:pPr>
    </w:lvl>
    <w:lvl w:ilvl="7" w:tplc="040C0019">
      <w:start w:val="1"/>
      <w:numFmt w:val="lowerLetter"/>
      <w:lvlText w:val="%8."/>
      <w:lvlJc w:val="left"/>
      <w:pPr>
        <w:ind w:left="5475" w:hanging="360"/>
      </w:pPr>
    </w:lvl>
    <w:lvl w:ilvl="8" w:tplc="040C001B">
      <w:start w:val="1"/>
      <w:numFmt w:val="lowerRoman"/>
      <w:lvlText w:val="%9."/>
      <w:lvlJc w:val="right"/>
      <w:pPr>
        <w:ind w:left="6195" w:hanging="180"/>
      </w:pPr>
    </w:lvl>
  </w:abstractNum>
  <w:abstractNum w:abstractNumId="22">
    <w:nsid w:val="5D734814"/>
    <w:multiLevelType w:val="multilevel"/>
    <w:tmpl w:val="EEEE9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972984"/>
    <w:multiLevelType w:val="hybridMultilevel"/>
    <w:tmpl w:val="BC42D5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2080B90"/>
    <w:multiLevelType w:val="hybridMultilevel"/>
    <w:tmpl w:val="4EF20EB2"/>
    <w:lvl w:ilvl="0" w:tplc="49BC2232">
      <w:numFmt w:val="bullet"/>
      <w:lvlText w:val="-"/>
      <w:lvlJc w:val="left"/>
      <w:pPr>
        <w:ind w:left="720" w:hanging="360"/>
      </w:pPr>
      <w:rPr>
        <w:rFonts w:ascii="Bookman Old Style" w:eastAsiaTheme="minorHAnsi" w:hAnsi="Bookman Old Style" w:cstheme="minorBidi" w:hint="default"/>
        <w:b w:val="0"/>
        <w:strike w:val="0"/>
        <w:dstrike w:val="0"/>
        <w:u w:val="none"/>
        <w:effect w:val="no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6926248D"/>
    <w:multiLevelType w:val="hybridMultilevel"/>
    <w:tmpl w:val="F334C428"/>
    <w:lvl w:ilvl="0" w:tplc="B9C09834">
      <w:start w:val="1"/>
      <w:numFmt w:val="lowerRoman"/>
      <w:lvlText w:val="(%1)"/>
      <w:lvlJc w:val="left"/>
      <w:pPr>
        <w:ind w:left="1140" w:hanging="720"/>
      </w:pPr>
      <w:rPr>
        <w:rFonts w:hint="default"/>
        <w:b w:val="0"/>
        <w:bCs/>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6">
    <w:nsid w:val="730B3C79"/>
    <w:multiLevelType w:val="hybridMultilevel"/>
    <w:tmpl w:val="3FDA10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8"/>
  </w:num>
  <w:num w:numId="4">
    <w:abstractNumId w:val="6"/>
  </w:num>
  <w:num w:numId="5">
    <w:abstractNumId w:val="20"/>
  </w:num>
  <w:num w:numId="6">
    <w:abstractNumId w:val="16"/>
  </w:num>
  <w:num w:numId="7">
    <w:abstractNumId w:val="3"/>
  </w:num>
  <w:num w:numId="8">
    <w:abstractNumId w:val="1"/>
  </w:num>
  <w:num w:numId="9">
    <w:abstractNumId w:val="4"/>
  </w:num>
  <w:num w:numId="10">
    <w:abstractNumId w:val="25"/>
  </w:num>
  <w:num w:numId="11">
    <w:abstractNumId w:val="9"/>
  </w:num>
  <w:num w:numId="12">
    <w:abstractNumId w:val="23"/>
  </w:num>
  <w:num w:numId="13">
    <w:abstractNumId w:val="12"/>
  </w:num>
  <w:num w:numId="14">
    <w:abstractNumId w:val="10"/>
  </w:num>
  <w:num w:numId="15">
    <w:abstractNumId w:val="26"/>
  </w:num>
  <w:num w:numId="16">
    <w:abstractNumId w:val="17"/>
  </w:num>
  <w:num w:numId="17">
    <w:abstractNumId w:val="22"/>
  </w:num>
  <w:num w:numId="18">
    <w:abstractNumId w:val="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4"/>
  </w:num>
  <w:num w:numId="22">
    <w:abstractNumId w:val="24"/>
  </w:num>
  <w:num w:numId="23">
    <w:abstractNumId w:val="11"/>
  </w:num>
  <w:num w:numId="24">
    <w:abstractNumId w:val="8"/>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A74"/>
    <w:rsid w:val="00020A74"/>
    <w:rsid w:val="000A6C99"/>
    <w:rsid w:val="000A7965"/>
    <w:rsid w:val="000B5288"/>
    <w:rsid w:val="000F1093"/>
    <w:rsid w:val="000F1755"/>
    <w:rsid w:val="0010642E"/>
    <w:rsid w:val="00106C95"/>
    <w:rsid w:val="00196F97"/>
    <w:rsid w:val="001B3673"/>
    <w:rsid w:val="003639A7"/>
    <w:rsid w:val="0052005E"/>
    <w:rsid w:val="00526E53"/>
    <w:rsid w:val="00653525"/>
    <w:rsid w:val="00816097"/>
    <w:rsid w:val="008B65BF"/>
    <w:rsid w:val="009B0A45"/>
    <w:rsid w:val="00AC2E42"/>
    <w:rsid w:val="00BF65C2"/>
    <w:rsid w:val="00C6494A"/>
    <w:rsid w:val="00F22B46"/>
    <w:rsid w:val="00F640F1"/>
    <w:rsid w:val="00FE01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3DF2B-440A-4283-B6B7-C13A7C9A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A74"/>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F22B46"/>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paragraph" w:styleId="Titre2">
    <w:name w:val="heading 2"/>
    <w:basedOn w:val="Normal"/>
    <w:next w:val="Normal"/>
    <w:link w:val="Titre2Car"/>
    <w:uiPriority w:val="9"/>
    <w:unhideWhenUsed/>
    <w:qFormat/>
    <w:rsid w:val="00F22B46"/>
    <w:pPr>
      <w:keepNext/>
      <w:keepLines/>
      <w:spacing w:before="40"/>
      <w:outlineLvl w:val="1"/>
    </w:pPr>
    <w:rPr>
      <w:rFonts w:asciiTheme="majorHAnsi" w:eastAsiaTheme="majorEastAsia" w:hAnsiTheme="majorHAnsi" w:cstheme="majorBidi"/>
      <w:color w:val="2E74B5" w:themeColor="accent1" w:themeShade="BF"/>
      <w:sz w:val="2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rsid w:val="00020A74"/>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styleId="Paragraphedeliste">
    <w:name w:val="List Paragraph"/>
    <w:basedOn w:val="Normal"/>
    <w:link w:val="ParagraphedelisteCar"/>
    <w:uiPriority w:val="34"/>
    <w:qFormat/>
    <w:rsid w:val="00020A74"/>
    <w:pPr>
      <w:ind w:left="720"/>
      <w:contextualSpacing/>
    </w:pPr>
  </w:style>
  <w:style w:type="paragraph" w:styleId="Corpsdetexte2">
    <w:name w:val="Body Text 2"/>
    <w:basedOn w:val="Normal"/>
    <w:link w:val="Corpsdetexte2Car"/>
    <w:uiPriority w:val="99"/>
    <w:unhideWhenUsed/>
    <w:rsid w:val="00020A74"/>
    <w:pPr>
      <w:spacing w:after="120" w:line="480" w:lineRule="auto"/>
    </w:pPr>
    <w:rPr>
      <w:sz w:val="20"/>
      <w:szCs w:val="20"/>
    </w:rPr>
  </w:style>
  <w:style w:type="character" w:customStyle="1" w:styleId="Corpsdetexte2Car">
    <w:name w:val="Corps de texte 2 Car"/>
    <w:basedOn w:val="Policepardfaut"/>
    <w:link w:val="Corpsdetexte2"/>
    <w:uiPriority w:val="99"/>
    <w:rsid w:val="00020A74"/>
    <w:rPr>
      <w:rFonts w:ascii="Times New Roman" w:eastAsia="Times New Roman" w:hAnsi="Times New Roman" w:cs="Times New Roman"/>
      <w:sz w:val="20"/>
      <w:szCs w:val="20"/>
      <w:lang w:eastAsia="fr-FR"/>
    </w:rPr>
  </w:style>
  <w:style w:type="paragraph" w:styleId="Corpsdetexte3">
    <w:name w:val="Body Text 3"/>
    <w:basedOn w:val="Normal"/>
    <w:link w:val="Corpsdetexte3Car"/>
    <w:uiPriority w:val="99"/>
    <w:semiHidden/>
    <w:unhideWhenUsed/>
    <w:rsid w:val="00020A74"/>
    <w:pPr>
      <w:spacing w:after="120"/>
    </w:pPr>
    <w:rPr>
      <w:sz w:val="16"/>
      <w:szCs w:val="16"/>
    </w:rPr>
  </w:style>
  <w:style w:type="character" w:customStyle="1" w:styleId="Corpsdetexte3Car">
    <w:name w:val="Corps de texte 3 Car"/>
    <w:basedOn w:val="Policepardfaut"/>
    <w:link w:val="Corpsdetexte3"/>
    <w:uiPriority w:val="99"/>
    <w:semiHidden/>
    <w:rsid w:val="00020A74"/>
    <w:rPr>
      <w:rFonts w:ascii="Times New Roman" w:eastAsia="Times New Roman" w:hAnsi="Times New Roman" w:cs="Times New Roman"/>
      <w:sz w:val="16"/>
      <w:szCs w:val="16"/>
      <w:lang w:eastAsia="fr-FR"/>
    </w:rPr>
  </w:style>
  <w:style w:type="paragraph" w:customStyle="1" w:styleId="Listecouleur-Accent11">
    <w:name w:val="Liste couleur - Accent 11"/>
    <w:basedOn w:val="Normal"/>
    <w:rsid w:val="00020A74"/>
    <w:pPr>
      <w:numPr>
        <w:numId w:val="3"/>
      </w:numPr>
      <w:spacing w:after="160" w:line="259" w:lineRule="auto"/>
    </w:pPr>
    <w:rPr>
      <w:rFonts w:ascii="Calibri" w:eastAsia="Calibri" w:hAnsi="Calibri"/>
      <w:sz w:val="22"/>
      <w:szCs w:val="22"/>
      <w:lang w:eastAsia="en-US"/>
    </w:rPr>
  </w:style>
  <w:style w:type="character" w:customStyle="1" w:styleId="ParagraphedelisteCar">
    <w:name w:val="Paragraphe de liste Car"/>
    <w:link w:val="Paragraphedeliste"/>
    <w:locked/>
    <w:rsid w:val="00020A74"/>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F22B4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F22B46"/>
    <w:rPr>
      <w:rFonts w:asciiTheme="majorHAnsi" w:eastAsiaTheme="majorEastAsia" w:hAnsiTheme="majorHAnsi" w:cstheme="majorBidi"/>
      <w:color w:val="2E74B5" w:themeColor="accent1" w:themeShade="BF"/>
      <w:sz w:val="26"/>
      <w:szCs w:val="26"/>
    </w:rPr>
  </w:style>
  <w:style w:type="paragraph" w:styleId="Textedebulles">
    <w:name w:val="Balloon Text"/>
    <w:basedOn w:val="Normal"/>
    <w:link w:val="TextedebullesCar"/>
    <w:uiPriority w:val="99"/>
    <w:semiHidden/>
    <w:unhideWhenUsed/>
    <w:rsid w:val="00816097"/>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6097"/>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56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1605</Words>
  <Characters>8829</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cp:lastPrinted>2020-12-16T13:43:00Z</cp:lastPrinted>
  <dcterms:created xsi:type="dcterms:W3CDTF">2020-10-20T15:28:00Z</dcterms:created>
  <dcterms:modified xsi:type="dcterms:W3CDTF">2021-02-16T12:41:00Z</dcterms:modified>
</cp:coreProperties>
</file>