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DFA" w:rsidRDefault="00B45DFA" w:rsidP="00B45DFA">
      <w:pPr>
        <w:suppressAutoHyphens/>
        <w:rPr>
          <w:rFonts w:ascii="Verdana" w:hAnsi="Verdana"/>
          <w:sz w:val="20"/>
          <w:szCs w:val="24"/>
        </w:rPr>
      </w:pPr>
      <w:bookmarkStart w:id="0" w:name="_GoBack"/>
      <w:bookmarkEnd w:id="0"/>
    </w:p>
    <w:p w:rsidR="00B45DFA" w:rsidRPr="002F1986" w:rsidRDefault="00B45DFA" w:rsidP="00B45DFA">
      <w:pPr>
        <w:ind w:right="-993"/>
        <w:rPr>
          <w:rFonts w:ascii="Palatino Linotype" w:hAnsi="Palatino Linotype"/>
          <w:b/>
          <w:sz w:val="20"/>
        </w:rPr>
      </w:pPr>
      <w:r>
        <w:rPr>
          <w:rFonts w:ascii="Palatino Linotype" w:hAnsi="Palatino Linotype"/>
          <w:b/>
          <w:sz w:val="20"/>
        </w:rPr>
        <w:t>M</w:t>
      </w:r>
      <w:r w:rsidRPr="002F1986">
        <w:rPr>
          <w:rFonts w:ascii="Palatino Linotype" w:hAnsi="Palatino Linotype"/>
          <w:b/>
          <w:sz w:val="20"/>
        </w:rPr>
        <w:t>INISTERE DE LA SANTE</w:t>
      </w:r>
      <w:r>
        <w:rPr>
          <w:rFonts w:ascii="Palatino Linotype" w:hAnsi="Palatino Linotype"/>
          <w:b/>
          <w:sz w:val="20"/>
        </w:rPr>
        <w:t xml:space="preserve"> ET  </w:t>
      </w:r>
      <w:r w:rsidRPr="002F1986">
        <w:rPr>
          <w:rFonts w:ascii="Palatino Linotype" w:hAnsi="Palatino Linotype"/>
          <w:b/>
          <w:sz w:val="20"/>
        </w:rPr>
        <w:tab/>
        <w:t xml:space="preserve">                                                   </w:t>
      </w:r>
      <w:r>
        <w:rPr>
          <w:rFonts w:ascii="Palatino Linotype" w:hAnsi="Palatino Linotype"/>
          <w:b/>
          <w:sz w:val="20"/>
        </w:rPr>
        <w:t xml:space="preserve">        </w:t>
      </w:r>
      <w:r w:rsidRPr="002F1986">
        <w:rPr>
          <w:rFonts w:ascii="Palatino Linotype" w:hAnsi="Palatino Linotype"/>
          <w:b/>
          <w:sz w:val="20"/>
        </w:rPr>
        <w:t xml:space="preserve">        REPUBLIQUE DU MALI</w:t>
      </w:r>
    </w:p>
    <w:p w:rsidR="00B45DFA" w:rsidRPr="002F1986" w:rsidRDefault="00B45DFA" w:rsidP="00B45DFA">
      <w:pPr>
        <w:ind w:right="-993"/>
        <w:rPr>
          <w:rFonts w:ascii="Palatino Linotype" w:hAnsi="Palatino Linotype"/>
          <w:b/>
          <w:sz w:val="20"/>
        </w:rPr>
      </w:pPr>
      <w:r>
        <w:rPr>
          <w:rFonts w:ascii="Palatino Linotype" w:hAnsi="Palatino Linotype"/>
          <w:b/>
          <w:sz w:val="20"/>
        </w:rPr>
        <w:t>DU DEVELOPPEMENT SOCIAL</w:t>
      </w:r>
      <w:r w:rsidRPr="002F1986">
        <w:rPr>
          <w:rFonts w:ascii="Palatino Linotype" w:hAnsi="Palatino Linotype"/>
          <w:b/>
          <w:sz w:val="20"/>
        </w:rPr>
        <w:t xml:space="preserve">      </w:t>
      </w:r>
      <w:r w:rsidRPr="002F1986">
        <w:rPr>
          <w:rFonts w:ascii="Palatino Linotype" w:hAnsi="Palatino Linotype"/>
          <w:b/>
          <w:sz w:val="20"/>
        </w:rPr>
        <w:tab/>
      </w:r>
      <w:r w:rsidRPr="002F1986">
        <w:rPr>
          <w:rFonts w:ascii="Palatino Linotype" w:hAnsi="Palatino Linotype"/>
          <w:b/>
          <w:sz w:val="20"/>
        </w:rPr>
        <w:tab/>
      </w:r>
      <w:r w:rsidRPr="002F1986">
        <w:rPr>
          <w:rFonts w:ascii="Palatino Linotype" w:hAnsi="Palatino Linotype"/>
          <w:b/>
          <w:sz w:val="20"/>
        </w:rPr>
        <w:tab/>
        <w:t xml:space="preserve">  </w:t>
      </w:r>
      <w:r>
        <w:rPr>
          <w:rFonts w:ascii="Palatino Linotype" w:hAnsi="Palatino Linotype"/>
          <w:b/>
          <w:sz w:val="20"/>
        </w:rPr>
        <w:t xml:space="preserve"> </w:t>
      </w:r>
      <w:r w:rsidRPr="002F1986">
        <w:rPr>
          <w:rFonts w:ascii="Palatino Linotype" w:hAnsi="Palatino Linotype"/>
          <w:b/>
          <w:sz w:val="20"/>
        </w:rPr>
        <w:t xml:space="preserve">                   </w:t>
      </w:r>
      <w:r>
        <w:rPr>
          <w:rFonts w:ascii="Palatino Linotype" w:hAnsi="Palatino Linotype"/>
          <w:b/>
          <w:sz w:val="20"/>
        </w:rPr>
        <w:t xml:space="preserve">              </w:t>
      </w:r>
      <w:r w:rsidRPr="002F1986">
        <w:rPr>
          <w:rFonts w:ascii="Palatino Linotype" w:hAnsi="Palatino Linotype"/>
          <w:b/>
          <w:sz w:val="20"/>
        </w:rPr>
        <w:t xml:space="preserve"> Un Peuple-Un But-Une Foi         </w:t>
      </w:r>
    </w:p>
    <w:p w:rsidR="00B45DFA" w:rsidRPr="002F1986" w:rsidRDefault="00B45DFA" w:rsidP="00B45DFA">
      <w:pPr>
        <w:ind w:left="-851" w:right="-993"/>
        <w:rPr>
          <w:rFonts w:ascii="Palatino Linotype" w:hAnsi="Palatino Linotype"/>
          <w:b/>
          <w:sz w:val="20"/>
        </w:rPr>
      </w:pPr>
      <w:r w:rsidRPr="002F1986">
        <w:rPr>
          <w:rFonts w:ascii="Palatino Linotype" w:hAnsi="Palatino Linotype"/>
          <w:b/>
          <w:sz w:val="20"/>
        </w:rPr>
        <w:t xml:space="preserve">                      -----------------------------                                                                                                        ----------------------                    </w:t>
      </w:r>
    </w:p>
    <w:p w:rsidR="00B45DFA" w:rsidRPr="002F1986" w:rsidRDefault="00B45DFA" w:rsidP="00B45DFA">
      <w:pPr>
        <w:ind w:right="-709"/>
        <w:rPr>
          <w:rFonts w:ascii="Goudy Old Style" w:hAnsi="Goudy Old Style"/>
          <w:b/>
          <w:sz w:val="20"/>
        </w:rPr>
      </w:pPr>
      <w:r w:rsidRPr="002F1986">
        <w:rPr>
          <w:rFonts w:ascii="Palatino Linotype" w:hAnsi="Palatino Linotype"/>
          <w:b/>
          <w:sz w:val="20"/>
        </w:rPr>
        <w:t xml:space="preserve"> PHARMACIE POPULAIRE DU MALI                </w:t>
      </w:r>
    </w:p>
    <w:p w:rsidR="00B45DFA" w:rsidRPr="002F1986" w:rsidRDefault="00B45DFA" w:rsidP="00B45DFA">
      <w:pPr>
        <w:ind w:right="-567"/>
        <w:rPr>
          <w:rFonts w:ascii="Palatino Linotype" w:hAnsi="Palatino Linotype"/>
          <w:b/>
          <w:sz w:val="20"/>
        </w:rPr>
      </w:pPr>
      <w:r>
        <w:rPr>
          <w:rFonts w:ascii="Palatino Linotype" w:hAnsi="Palatino Linotype"/>
          <w:b/>
          <w:noProof/>
          <w:sz w:val="20"/>
        </w:rPr>
        <w:drawing>
          <wp:anchor distT="0" distB="0" distL="114300" distR="114300" simplePos="0" relativeHeight="251659264" behindDoc="0" locked="0" layoutInCell="1" allowOverlap="1">
            <wp:simplePos x="0" y="0"/>
            <wp:positionH relativeFrom="margin">
              <wp:posOffset>4893310</wp:posOffset>
            </wp:positionH>
            <wp:positionV relativeFrom="paragraph">
              <wp:posOffset>8890</wp:posOffset>
            </wp:positionV>
            <wp:extent cx="840105" cy="76771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0105"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986">
        <w:rPr>
          <w:rFonts w:ascii="Palatino Linotype" w:hAnsi="Palatino Linotype"/>
          <w:b/>
          <w:sz w:val="20"/>
        </w:rPr>
        <w:t xml:space="preserve"> DIRECTION GENERALE                                                                          </w:t>
      </w:r>
    </w:p>
    <w:p w:rsidR="00B45DFA" w:rsidRPr="002F1986" w:rsidRDefault="00B45DFA" w:rsidP="00B45DFA">
      <w:pPr>
        <w:spacing w:line="360" w:lineRule="auto"/>
        <w:ind w:right="-567"/>
        <w:rPr>
          <w:rFonts w:ascii="Palatino Linotype" w:hAnsi="Palatino Linotype"/>
          <w:b/>
          <w:sz w:val="20"/>
        </w:rPr>
      </w:pPr>
      <w:r w:rsidRPr="00216EBF">
        <w:rPr>
          <w:noProof/>
          <w:sz w:val="20"/>
        </w:rPr>
        <w:drawing>
          <wp:inline distT="0" distB="0" distL="0" distR="0">
            <wp:extent cx="762000" cy="619125"/>
            <wp:effectExtent l="0" t="0" r="0" b="9525"/>
            <wp:docPr id="1" name="Image 1" descr="C:\Users\DEMBELE\Desktop\P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DEMBELE\Desktop\PP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619125"/>
                    </a:xfrm>
                    <a:prstGeom prst="rect">
                      <a:avLst/>
                    </a:prstGeom>
                    <a:noFill/>
                    <a:ln>
                      <a:noFill/>
                    </a:ln>
                  </pic:spPr>
                </pic:pic>
              </a:graphicData>
            </a:graphic>
          </wp:inline>
        </w:drawing>
      </w:r>
    </w:p>
    <w:p w:rsidR="00B45DFA" w:rsidRPr="002F1986" w:rsidRDefault="00B45DFA" w:rsidP="00B45DFA">
      <w:pPr>
        <w:spacing w:line="360" w:lineRule="auto"/>
        <w:ind w:right="-567"/>
        <w:rPr>
          <w:rFonts w:ascii="Palatino Linotype" w:hAnsi="Palatino Linotype"/>
          <w:b/>
          <w:sz w:val="20"/>
        </w:rPr>
      </w:pPr>
    </w:p>
    <w:p w:rsidR="00B45DFA" w:rsidRPr="002F1986" w:rsidRDefault="00B45DFA" w:rsidP="00B45DFA">
      <w:pPr>
        <w:spacing w:line="360" w:lineRule="auto"/>
        <w:ind w:right="-567"/>
        <w:rPr>
          <w:rFonts w:ascii="Palatino Linotype" w:hAnsi="Palatino Linotype"/>
          <w:b/>
          <w:sz w:val="20"/>
        </w:rPr>
      </w:pPr>
    </w:p>
    <w:p w:rsidR="00B45DFA" w:rsidRPr="002F1986" w:rsidRDefault="00B45DFA" w:rsidP="00B45DFA"/>
    <w:p w:rsidR="00B45DFA" w:rsidRPr="002F1986" w:rsidRDefault="00B45DFA" w:rsidP="00B45DFA">
      <w:pPr>
        <w:jc w:val="center"/>
        <w:rPr>
          <w:b/>
          <w:spacing w:val="80"/>
          <w:sz w:val="40"/>
        </w:rPr>
      </w:pPr>
      <w:r w:rsidRPr="002F1986">
        <w:rPr>
          <w:b/>
          <w:spacing w:val="80"/>
          <w:sz w:val="40"/>
        </w:rPr>
        <w:t>DOSSIER D’APPEL D’OFFRES INTERNATIONAL OUVERT</w:t>
      </w:r>
    </w:p>
    <w:p w:rsidR="00B45DFA" w:rsidRPr="002F1986" w:rsidRDefault="00B45DFA" w:rsidP="00B45DFA">
      <w:pPr>
        <w:jc w:val="center"/>
        <w:rPr>
          <w:b/>
          <w:sz w:val="72"/>
        </w:rPr>
      </w:pPr>
    </w:p>
    <w:p w:rsidR="00B45DFA" w:rsidRPr="002F1986" w:rsidRDefault="00B45DFA" w:rsidP="00B45DFA">
      <w:pPr>
        <w:jc w:val="center"/>
        <w:rPr>
          <w:i/>
          <w:sz w:val="40"/>
        </w:rPr>
      </w:pPr>
      <w:r>
        <w:rPr>
          <w:b/>
          <w:sz w:val="40"/>
        </w:rPr>
        <w:t>Émis-le</w:t>
      </w:r>
      <w:r w:rsidRPr="002F1986">
        <w:rPr>
          <w:b/>
          <w:sz w:val="40"/>
        </w:rPr>
        <w:t xml:space="preserve">: </w:t>
      </w:r>
      <w:r>
        <w:rPr>
          <w:b/>
          <w:color w:val="FF0000"/>
          <w:sz w:val="40"/>
        </w:rPr>
        <w:t>-------------</w:t>
      </w:r>
      <w:r w:rsidRPr="007C340D">
        <w:rPr>
          <w:b/>
          <w:color w:val="FF0000"/>
          <w:sz w:val="40"/>
        </w:rPr>
        <w:t xml:space="preserve"> 202</w:t>
      </w:r>
      <w:r>
        <w:rPr>
          <w:b/>
          <w:color w:val="FF0000"/>
          <w:sz w:val="40"/>
        </w:rPr>
        <w:t>2</w:t>
      </w:r>
    </w:p>
    <w:p w:rsidR="00B45DFA" w:rsidRPr="002F1986" w:rsidRDefault="00B45DFA" w:rsidP="00B45DFA">
      <w:pPr>
        <w:jc w:val="center"/>
        <w:rPr>
          <w:b/>
          <w:sz w:val="40"/>
        </w:rPr>
      </w:pPr>
    </w:p>
    <w:p w:rsidR="00B45DFA" w:rsidRPr="002F1986" w:rsidRDefault="00B45DFA" w:rsidP="00B45DFA">
      <w:pPr>
        <w:jc w:val="center"/>
        <w:rPr>
          <w:b/>
          <w:sz w:val="40"/>
        </w:rPr>
      </w:pPr>
      <w:r w:rsidRPr="002F1986">
        <w:rPr>
          <w:b/>
          <w:sz w:val="40"/>
        </w:rPr>
        <w:t>Pour</w:t>
      </w:r>
    </w:p>
    <w:p w:rsidR="00B45DFA" w:rsidRPr="002F1986" w:rsidRDefault="00B45DFA" w:rsidP="00B45DFA">
      <w:pPr>
        <w:jc w:val="center"/>
      </w:pPr>
    </w:p>
    <w:p w:rsidR="00B45DFA" w:rsidRPr="002F1986" w:rsidRDefault="00B45DFA" w:rsidP="00B45DFA">
      <w:pPr>
        <w:jc w:val="center"/>
        <w:rPr>
          <w:b/>
          <w:sz w:val="40"/>
          <w:szCs w:val="40"/>
        </w:rPr>
      </w:pPr>
      <w:r w:rsidRPr="002F1986">
        <w:rPr>
          <w:b/>
          <w:sz w:val="40"/>
          <w:szCs w:val="40"/>
        </w:rPr>
        <w:t xml:space="preserve">LA FOURNITURE </w:t>
      </w:r>
    </w:p>
    <w:p w:rsidR="00B45DFA" w:rsidRPr="00EF209F" w:rsidRDefault="00B45DFA" w:rsidP="00B45DFA">
      <w:pPr>
        <w:spacing w:after="200"/>
        <w:outlineLvl w:val="3"/>
        <w:rPr>
          <w:rFonts w:ascii="Verdana" w:hAnsi="Verdana"/>
          <w:b/>
          <w:bCs/>
          <w:sz w:val="28"/>
          <w:szCs w:val="32"/>
        </w:rPr>
      </w:pPr>
      <w:r w:rsidRPr="002F1986">
        <w:rPr>
          <w:rFonts w:ascii="Verdana" w:hAnsi="Verdana"/>
          <w:b/>
          <w:bCs/>
          <w:sz w:val="28"/>
          <w:szCs w:val="32"/>
        </w:rPr>
        <w:t>DE MEDICAMENTS  ANTICANCEREUX</w:t>
      </w:r>
      <w:r>
        <w:rPr>
          <w:rFonts w:ascii="Verdana" w:hAnsi="Verdana"/>
          <w:b/>
          <w:bCs/>
          <w:sz w:val="28"/>
          <w:szCs w:val="32"/>
        </w:rPr>
        <w:t xml:space="preserve"> </w:t>
      </w:r>
      <w:r w:rsidRPr="002F1986">
        <w:rPr>
          <w:rFonts w:ascii="Verdana" w:hAnsi="Verdana"/>
          <w:b/>
          <w:bCs/>
          <w:sz w:val="28"/>
          <w:szCs w:val="32"/>
        </w:rPr>
        <w:t>EN DENOMINATION COMMUNE INTERNATIONALE (D.C.I) A LA PHARMACIE  POPULAIRE DU MALI (P.P.M.)</w:t>
      </w:r>
    </w:p>
    <w:p w:rsidR="00B45DFA" w:rsidRPr="002F1986" w:rsidRDefault="00B45DFA" w:rsidP="00B45DFA">
      <w:pPr>
        <w:jc w:val="center"/>
        <w:rPr>
          <w:b/>
          <w:sz w:val="56"/>
        </w:rPr>
      </w:pPr>
    </w:p>
    <w:p w:rsidR="00B45DFA" w:rsidRPr="002F1986" w:rsidRDefault="00B45DFA" w:rsidP="00B45DFA">
      <w:pPr>
        <w:ind w:firstLine="708"/>
        <w:rPr>
          <w:sz w:val="40"/>
          <w:szCs w:val="40"/>
        </w:rPr>
      </w:pPr>
      <w:r w:rsidRPr="002F1986">
        <w:rPr>
          <w:b/>
          <w:sz w:val="40"/>
        </w:rPr>
        <w:t xml:space="preserve">Appel d’Offres N° </w:t>
      </w:r>
      <w:r>
        <w:rPr>
          <w:rFonts w:ascii="Verdana" w:hAnsi="Verdana"/>
          <w:sz w:val="28"/>
          <w:szCs w:val="24"/>
        </w:rPr>
        <w:t>02/2022</w:t>
      </w:r>
      <w:r w:rsidRPr="002F1986">
        <w:rPr>
          <w:rFonts w:ascii="Verdana" w:hAnsi="Verdana"/>
          <w:sz w:val="28"/>
          <w:szCs w:val="24"/>
        </w:rPr>
        <w:t>-PPM</w:t>
      </w:r>
    </w:p>
    <w:p w:rsidR="00B45DFA" w:rsidRPr="002F1986" w:rsidRDefault="00B45DFA" w:rsidP="00B45DFA">
      <w:pPr>
        <w:spacing w:after="240"/>
        <w:jc w:val="center"/>
        <w:rPr>
          <w:b/>
          <w:sz w:val="40"/>
        </w:rPr>
      </w:pPr>
      <w:r w:rsidRPr="002F1986">
        <w:rPr>
          <w:b/>
          <w:sz w:val="40"/>
        </w:rPr>
        <w:t xml:space="preserve">Autorité contractante: </w:t>
      </w:r>
      <w:r w:rsidRPr="002F1986">
        <w:rPr>
          <w:b/>
          <w:sz w:val="28"/>
          <w:szCs w:val="28"/>
        </w:rPr>
        <w:t>Pharmacie Populaire du Mali (P</w:t>
      </w:r>
      <w:r>
        <w:rPr>
          <w:b/>
          <w:sz w:val="28"/>
          <w:szCs w:val="28"/>
        </w:rPr>
        <w:t>.</w:t>
      </w:r>
      <w:r w:rsidRPr="002F1986">
        <w:rPr>
          <w:b/>
          <w:sz w:val="28"/>
          <w:szCs w:val="28"/>
        </w:rPr>
        <w:t>P</w:t>
      </w:r>
      <w:r>
        <w:rPr>
          <w:b/>
          <w:sz w:val="28"/>
          <w:szCs w:val="28"/>
        </w:rPr>
        <w:t>.</w:t>
      </w:r>
      <w:r w:rsidRPr="002F1986">
        <w:rPr>
          <w:b/>
          <w:sz w:val="28"/>
          <w:szCs w:val="28"/>
        </w:rPr>
        <w:t>M)</w:t>
      </w:r>
    </w:p>
    <w:p w:rsidR="00B45DFA" w:rsidRPr="002F1986" w:rsidRDefault="00B45DFA" w:rsidP="00B45DFA">
      <w:pPr>
        <w:jc w:val="both"/>
      </w:pPr>
    </w:p>
    <w:p w:rsidR="00B45DFA" w:rsidRPr="002F1986" w:rsidRDefault="00B45DFA" w:rsidP="00B45DFA">
      <w:pPr>
        <w:ind w:firstLine="708"/>
      </w:pPr>
      <w:r w:rsidRPr="002F1986">
        <w:rPr>
          <w:b/>
          <w:sz w:val="32"/>
          <w:szCs w:val="32"/>
        </w:rPr>
        <w:t xml:space="preserve">Source de financement : </w:t>
      </w:r>
      <w:r w:rsidRPr="002F1986">
        <w:rPr>
          <w:b/>
          <w:sz w:val="28"/>
          <w:szCs w:val="28"/>
        </w:rPr>
        <w:t xml:space="preserve">FONDS PROPRES, </w:t>
      </w:r>
      <w:r>
        <w:rPr>
          <w:b/>
          <w:sz w:val="28"/>
          <w:szCs w:val="28"/>
        </w:rPr>
        <w:t>E</w:t>
      </w:r>
      <w:r w:rsidRPr="002F1986">
        <w:rPr>
          <w:b/>
          <w:sz w:val="28"/>
          <w:szCs w:val="28"/>
        </w:rPr>
        <w:t xml:space="preserve">xercice </w:t>
      </w:r>
      <w:r>
        <w:rPr>
          <w:b/>
          <w:sz w:val="28"/>
          <w:szCs w:val="28"/>
        </w:rPr>
        <w:t>2022</w:t>
      </w:r>
      <w:r w:rsidRPr="002F1986">
        <w:rPr>
          <w:b/>
          <w:sz w:val="28"/>
          <w:szCs w:val="28"/>
        </w:rPr>
        <w:t xml:space="preserve">  </w:t>
      </w:r>
    </w:p>
    <w:p w:rsidR="00B45DFA" w:rsidRPr="002F1986" w:rsidRDefault="00B45DFA" w:rsidP="00B45DFA">
      <w:pPr>
        <w:spacing w:after="160" w:line="259" w:lineRule="auto"/>
        <w:ind w:left="705" w:hanging="705"/>
        <w:jc w:val="both"/>
        <w:rPr>
          <w:rFonts w:eastAsia="Calibri"/>
          <w:szCs w:val="24"/>
          <w:lang w:eastAsia="en-US"/>
        </w:rPr>
      </w:pPr>
    </w:p>
    <w:p w:rsidR="00B45DFA" w:rsidRPr="002F1986" w:rsidRDefault="00B45DFA" w:rsidP="00B45DFA">
      <w:pPr>
        <w:spacing w:after="160" w:line="259" w:lineRule="auto"/>
        <w:ind w:left="705" w:hanging="705"/>
        <w:jc w:val="both"/>
        <w:rPr>
          <w:rFonts w:eastAsia="Calibri"/>
          <w:szCs w:val="24"/>
          <w:lang w:eastAsia="en-US"/>
        </w:rPr>
      </w:pPr>
    </w:p>
    <w:p w:rsidR="00B45DFA" w:rsidRPr="002F1986" w:rsidRDefault="00B45DFA" w:rsidP="00B45DFA">
      <w:pPr>
        <w:spacing w:after="160" w:line="259" w:lineRule="auto"/>
        <w:ind w:left="705" w:hanging="705"/>
        <w:jc w:val="both"/>
        <w:rPr>
          <w:rFonts w:eastAsia="Calibri"/>
          <w:szCs w:val="24"/>
          <w:lang w:eastAsia="en-US"/>
        </w:rPr>
      </w:pPr>
    </w:p>
    <w:p w:rsidR="00B45DFA" w:rsidRPr="002F1986" w:rsidRDefault="00B45DFA" w:rsidP="00B45DFA">
      <w:pPr>
        <w:spacing w:after="160" w:line="259" w:lineRule="auto"/>
        <w:ind w:left="705" w:hanging="705"/>
        <w:jc w:val="both"/>
        <w:rPr>
          <w:rFonts w:eastAsia="Calibri"/>
          <w:szCs w:val="24"/>
          <w:lang w:eastAsia="en-US"/>
        </w:rPr>
      </w:pPr>
    </w:p>
    <w:p w:rsidR="00B45DFA" w:rsidRPr="002F1986" w:rsidRDefault="00B45DFA" w:rsidP="00B45DFA">
      <w:pPr>
        <w:spacing w:after="160" w:line="259" w:lineRule="auto"/>
        <w:ind w:left="705" w:hanging="705"/>
        <w:jc w:val="both"/>
        <w:rPr>
          <w:rFonts w:eastAsia="Calibri"/>
          <w:szCs w:val="24"/>
          <w:lang w:eastAsia="en-US"/>
        </w:rPr>
      </w:pPr>
    </w:p>
    <w:p w:rsidR="00B45DFA" w:rsidRPr="002F1986" w:rsidRDefault="00B45DFA" w:rsidP="00B45DFA">
      <w:pPr>
        <w:spacing w:after="160" w:line="259" w:lineRule="auto"/>
        <w:ind w:left="705" w:hanging="705"/>
        <w:jc w:val="both"/>
        <w:rPr>
          <w:rFonts w:eastAsia="Calibri"/>
          <w:szCs w:val="24"/>
          <w:lang w:eastAsia="en-US"/>
        </w:rPr>
      </w:pPr>
    </w:p>
    <w:p w:rsidR="00B45DFA" w:rsidRPr="002F1986" w:rsidRDefault="00B45DFA" w:rsidP="00B45DFA">
      <w:pPr>
        <w:ind w:right="-993"/>
        <w:rPr>
          <w:rFonts w:ascii="Palatino Linotype" w:hAnsi="Palatino Linotype"/>
          <w:b/>
          <w:sz w:val="20"/>
        </w:rPr>
      </w:pPr>
      <w:bookmarkStart w:id="1" w:name="_Toc494969074"/>
      <w:r w:rsidRPr="002F1986">
        <w:rPr>
          <w:rFonts w:ascii="Palatino Linotype" w:hAnsi="Palatino Linotype"/>
          <w:b/>
          <w:sz w:val="20"/>
        </w:rPr>
        <w:lastRenderedPageBreak/>
        <w:t>MINISTERE DE LA SANTE</w:t>
      </w:r>
      <w:r>
        <w:rPr>
          <w:rFonts w:ascii="Palatino Linotype" w:hAnsi="Palatino Linotype"/>
          <w:b/>
          <w:sz w:val="20"/>
        </w:rPr>
        <w:t xml:space="preserve"> ET  </w:t>
      </w:r>
      <w:r w:rsidRPr="002F1986">
        <w:rPr>
          <w:rFonts w:ascii="Palatino Linotype" w:hAnsi="Palatino Linotype"/>
          <w:b/>
          <w:sz w:val="20"/>
        </w:rPr>
        <w:tab/>
        <w:t xml:space="preserve">                                                   </w:t>
      </w:r>
      <w:r>
        <w:rPr>
          <w:rFonts w:ascii="Palatino Linotype" w:hAnsi="Palatino Linotype"/>
          <w:b/>
          <w:sz w:val="20"/>
        </w:rPr>
        <w:t xml:space="preserve">        </w:t>
      </w:r>
      <w:r w:rsidRPr="002F1986">
        <w:rPr>
          <w:rFonts w:ascii="Palatino Linotype" w:hAnsi="Palatino Linotype"/>
          <w:b/>
          <w:sz w:val="20"/>
        </w:rPr>
        <w:t xml:space="preserve">        REPUBLIQUE DU MALI</w:t>
      </w:r>
    </w:p>
    <w:p w:rsidR="00B45DFA" w:rsidRPr="002F1986" w:rsidRDefault="00B45DFA" w:rsidP="00B45DFA">
      <w:pPr>
        <w:ind w:right="-993"/>
        <w:rPr>
          <w:rFonts w:ascii="Palatino Linotype" w:hAnsi="Palatino Linotype"/>
          <w:b/>
          <w:sz w:val="20"/>
        </w:rPr>
      </w:pPr>
      <w:r>
        <w:rPr>
          <w:rFonts w:ascii="Palatino Linotype" w:hAnsi="Palatino Linotype"/>
          <w:b/>
          <w:sz w:val="20"/>
        </w:rPr>
        <w:t>DU DEVELOPPEMENT SOCIAL</w:t>
      </w:r>
      <w:r w:rsidRPr="002F1986">
        <w:rPr>
          <w:rFonts w:ascii="Palatino Linotype" w:hAnsi="Palatino Linotype"/>
          <w:b/>
          <w:sz w:val="20"/>
        </w:rPr>
        <w:t xml:space="preserve">      </w:t>
      </w:r>
      <w:r w:rsidRPr="002F1986">
        <w:rPr>
          <w:rFonts w:ascii="Palatino Linotype" w:hAnsi="Palatino Linotype"/>
          <w:b/>
          <w:sz w:val="20"/>
        </w:rPr>
        <w:tab/>
      </w:r>
      <w:r w:rsidRPr="002F1986">
        <w:rPr>
          <w:rFonts w:ascii="Palatino Linotype" w:hAnsi="Palatino Linotype"/>
          <w:b/>
          <w:sz w:val="20"/>
        </w:rPr>
        <w:tab/>
      </w:r>
      <w:r w:rsidRPr="002F1986">
        <w:rPr>
          <w:rFonts w:ascii="Palatino Linotype" w:hAnsi="Palatino Linotype"/>
          <w:b/>
          <w:sz w:val="20"/>
        </w:rPr>
        <w:tab/>
        <w:t xml:space="preserve">  </w:t>
      </w:r>
      <w:r>
        <w:rPr>
          <w:rFonts w:ascii="Palatino Linotype" w:hAnsi="Palatino Linotype"/>
          <w:b/>
          <w:sz w:val="20"/>
        </w:rPr>
        <w:t xml:space="preserve"> </w:t>
      </w:r>
      <w:r w:rsidRPr="002F1986">
        <w:rPr>
          <w:rFonts w:ascii="Palatino Linotype" w:hAnsi="Palatino Linotype"/>
          <w:b/>
          <w:sz w:val="20"/>
        </w:rPr>
        <w:t xml:space="preserve">                   </w:t>
      </w:r>
      <w:r>
        <w:rPr>
          <w:rFonts w:ascii="Palatino Linotype" w:hAnsi="Palatino Linotype"/>
          <w:b/>
          <w:sz w:val="20"/>
        </w:rPr>
        <w:t xml:space="preserve">              </w:t>
      </w:r>
      <w:r w:rsidRPr="002F1986">
        <w:rPr>
          <w:rFonts w:ascii="Palatino Linotype" w:hAnsi="Palatino Linotype"/>
          <w:b/>
          <w:sz w:val="20"/>
        </w:rPr>
        <w:t xml:space="preserve"> Un Peuple-Un But-Une Foi         </w:t>
      </w:r>
    </w:p>
    <w:p w:rsidR="00B45DFA" w:rsidRPr="002F1986" w:rsidRDefault="00B45DFA" w:rsidP="00B45DFA">
      <w:pPr>
        <w:ind w:left="-851" w:right="-993"/>
        <w:rPr>
          <w:rFonts w:ascii="Palatino Linotype" w:hAnsi="Palatino Linotype"/>
          <w:b/>
          <w:sz w:val="20"/>
        </w:rPr>
      </w:pPr>
      <w:r w:rsidRPr="002F1986">
        <w:rPr>
          <w:rFonts w:ascii="Palatino Linotype" w:hAnsi="Palatino Linotype"/>
          <w:b/>
          <w:sz w:val="20"/>
        </w:rPr>
        <w:t xml:space="preserve">                      -----------------------------                                                                                                        ----------------------                    </w:t>
      </w:r>
    </w:p>
    <w:p w:rsidR="00B45DFA" w:rsidRPr="002F1986" w:rsidRDefault="00B45DFA" w:rsidP="00B45DFA">
      <w:pPr>
        <w:ind w:right="-709"/>
        <w:rPr>
          <w:rFonts w:ascii="Goudy Old Style" w:hAnsi="Goudy Old Style"/>
          <w:b/>
          <w:sz w:val="20"/>
        </w:rPr>
      </w:pPr>
      <w:r w:rsidRPr="002F1986">
        <w:rPr>
          <w:rFonts w:ascii="Palatino Linotype" w:hAnsi="Palatino Linotype"/>
          <w:b/>
          <w:sz w:val="20"/>
        </w:rPr>
        <w:t xml:space="preserve"> PHARMACIE POPULAIRE DU MALI                </w:t>
      </w:r>
    </w:p>
    <w:p w:rsidR="00B45DFA" w:rsidRPr="002F1986" w:rsidRDefault="00B45DFA" w:rsidP="00B45DFA">
      <w:pPr>
        <w:ind w:right="-567"/>
        <w:rPr>
          <w:rFonts w:ascii="Palatino Linotype" w:hAnsi="Palatino Linotype"/>
          <w:b/>
          <w:sz w:val="20"/>
        </w:rPr>
      </w:pPr>
      <w:r w:rsidRPr="002F1986">
        <w:rPr>
          <w:rFonts w:ascii="Palatino Linotype" w:hAnsi="Palatino Linotype"/>
          <w:b/>
          <w:sz w:val="20"/>
        </w:rPr>
        <w:t xml:space="preserve"> DIRECTION GENERALE                                                                          </w:t>
      </w:r>
    </w:p>
    <w:p w:rsidR="00B45DFA" w:rsidRPr="00751C1D" w:rsidRDefault="00B45DFA" w:rsidP="00B45DFA">
      <w:pPr>
        <w:spacing w:line="360" w:lineRule="auto"/>
        <w:ind w:right="-567"/>
        <w:rPr>
          <w:rFonts w:ascii="Palatino Linotype" w:hAnsi="Palatino Linotype"/>
          <w:b/>
          <w:sz w:val="20"/>
        </w:rPr>
      </w:pPr>
      <w:r w:rsidRPr="00216EBF">
        <w:rPr>
          <w:noProof/>
          <w:sz w:val="20"/>
        </w:rPr>
        <w:drawing>
          <wp:inline distT="0" distB="0" distL="0" distR="0">
            <wp:extent cx="762000" cy="314325"/>
            <wp:effectExtent l="0" t="0" r="0" b="9525"/>
            <wp:docPr id="3" name="Image 3" descr="C:\Users\DEMBELE\Desktop\P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DEMBELE\Desktop\PP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314325"/>
                    </a:xfrm>
                    <a:prstGeom prst="rect">
                      <a:avLst/>
                    </a:prstGeom>
                    <a:noFill/>
                    <a:ln>
                      <a:noFill/>
                    </a:ln>
                  </pic:spPr>
                </pic:pic>
              </a:graphicData>
            </a:graphic>
          </wp:inline>
        </w:drawing>
      </w:r>
      <w:bookmarkEnd w:id="1"/>
      <w:r>
        <w:rPr>
          <w:rFonts w:ascii="Palatino Linotype" w:hAnsi="Palatino Linotype"/>
          <w:b/>
          <w:sz w:val="20"/>
        </w:rPr>
        <w:t xml:space="preserve">                 </w:t>
      </w:r>
      <w:r w:rsidRPr="001A4160">
        <w:rPr>
          <w:b/>
          <w:sz w:val="32"/>
          <w:szCs w:val="32"/>
        </w:rPr>
        <w:t xml:space="preserve">Avis d’Appel d’Offres </w:t>
      </w:r>
      <w:r>
        <w:rPr>
          <w:b/>
          <w:sz w:val="32"/>
          <w:szCs w:val="32"/>
        </w:rPr>
        <w:t xml:space="preserve">International </w:t>
      </w:r>
      <w:r w:rsidRPr="001A4160">
        <w:rPr>
          <w:b/>
          <w:sz w:val="32"/>
          <w:szCs w:val="32"/>
        </w:rPr>
        <w:t>Ouvert (AAO</w:t>
      </w:r>
      <w:r>
        <w:rPr>
          <w:b/>
          <w:sz w:val="32"/>
          <w:szCs w:val="32"/>
        </w:rPr>
        <w:t>IO)</w:t>
      </w:r>
    </w:p>
    <w:p w:rsidR="00B45DFA" w:rsidRPr="00F6015C" w:rsidRDefault="00B45DFA" w:rsidP="00B45DFA">
      <w:pPr>
        <w:spacing w:line="360" w:lineRule="auto"/>
        <w:jc w:val="center"/>
        <w:rPr>
          <w:rFonts w:ascii="Verdana" w:hAnsi="Verdana"/>
          <w:szCs w:val="24"/>
        </w:rPr>
      </w:pPr>
      <w:r w:rsidRPr="003D568D">
        <w:rPr>
          <w:rFonts w:ascii="Verdana" w:hAnsi="Verdana"/>
          <w:szCs w:val="24"/>
        </w:rPr>
        <w:t>La Pharmacie Populaire du Mali</w:t>
      </w:r>
    </w:p>
    <w:p w:rsidR="00B45DFA" w:rsidRPr="005F14F1" w:rsidRDefault="00B45DFA" w:rsidP="00B45DFA">
      <w:pPr>
        <w:ind w:left="708"/>
      </w:pPr>
      <w:r w:rsidRPr="005F14F1">
        <w:t xml:space="preserve">Appel d’Offres  International ouvert  N° </w:t>
      </w:r>
      <w:r>
        <w:t>02</w:t>
      </w:r>
      <w:r w:rsidRPr="005F14F1">
        <w:t>/202</w:t>
      </w:r>
      <w:r>
        <w:t>2</w:t>
      </w:r>
      <w:r w:rsidRPr="005F14F1">
        <w:t xml:space="preserve">-PPM relatif à la fourniture des médicaments </w:t>
      </w:r>
      <w:r w:rsidRPr="005F14F1">
        <w:rPr>
          <w:rFonts w:ascii="Tahoma" w:hAnsi="Tahoma" w:cs="Tahoma"/>
          <w:sz w:val="22"/>
          <w:szCs w:val="22"/>
          <w:lang w:val="fr-CA"/>
        </w:rPr>
        <w:t>anticancéreux</w:t>
      </w:r>
      <w:r w:rsidRPr="005F14F1">
        <w:t xml:space="preserve"> en Dénomination Commune Internationale (D.C.I) au compte de la Pharmacie Populaire du Mali (P.P.M).</w:t>
      </w:r>
    </w:p>
    <w:p w:rsidR="00B45DFA" w:rsidRPr="005F14F1" w:rsidRDefault="00B45DFA" w:rsidP="00B45DFA">
      <w:pPr>
        <w:ind w:left="708"/>
      </w:pPr>
    </w:p>
    <w:p w:rsidR="00B45DFA" w:rsidRDefault="00B45DFA" w:rsidP="00B45DFA">
      <w:pPr>
        <w:ind w:left="708"/>
      </w:pPr>
      <w:r w:rsidRPr="005F14F1">
        <w:t xml:space="preserve">Cet Avis d’appel d’offres fait suite aux Avis Généraux de Passation des Marchés parus dans l’ESSOR N° </w:t>
      </w:r>
      <w:r w:rsidRPr="004542FF">
        <w:t>195410 du lundi 13 decembre 2021</w:t>
      </w:r>
      <w:r>
        <w:t>.</w:t>
      </w:r>
    </w:p>
    <w:p w:rsidR="00B45DFA" w:rsidRPr="005F14F1" w:rsidRDefault="00B45DFA" w:rsidP="00B45DFA">
      <w:pPr>
        <w:ind w:left="708"/>
        <w:rPr>
          <w:rFonts w:eastAsia="Calibri"/>
          <w:szCs w:val="24"/>
          <w:lang w:eastAsia="en-US"/>
        </w:rPr>
      </w:pPr>
    </w:p>
    <w:p w:rsidR="00B45DFA" w:rsidRPr="005F14F1" w:rsidRDefault="00B45DFA" w:rsidP="00B45DFA">
      <w:pPr>
        <w:numPr>
          <w:ilvl w:val="0"/>
          <w:numId w:val="1"/>
        </w:numPr>
        <w:spacing w:after="200" w:line="276" w:lineRule="auto"/>
        <w:jc w:val="both"/>
        <w:rPr>
          <w:rFonts w:ascii="Tahoma" w:hAnsi="Tahoma" w:cs="Tahoma"/>
          <w:sz w:val="22"/>
          <w:szCs w:val="22"/>
        </w:rPr>
      </w:pPr>
      <w:r w:rsidRPr="005F14F1">
        <w:rPr>
          <w:rFonts w:eastAsia="Calibri"/>
          <w:b/>
          <w:szCs w:val="24"/>
          <w:lang w:eastAsia="en-US"/>
        </w:rPr>
        <w:t xml:space="preserve"> </w:t>
      </w:r>
      <w:r w:rsidRPr="005F14F1">
        <w:rPr>
          <w:rFonts w:ascii="Tahoma" w:hAnsi="Tahoma" w:cs="Tahoma"/>
          <w:sz w:val="22"/>
          <w:szCs w:val="22"/>
        </w:rPr>
        <w:t xml:space="preserve">La Pharmacie Populaire du Mali dispose des fonds propres sur son budget, afin de financer la  Lutte contre la maladie, et à l’intention d’utiliser une partie de ces fonds pour effectuer les paiements au titre du marché pour la fourniture des médicaments </w:t>
      </w:r>
      <w:r w:rsidRPr="005F14F1">
        <w:rPr>
          <w:rFonts w:ascii="Tahoma" w:hAnsi="Tahoma" w:cs="Tahoma"/>
          <w:sz w:val="22"/>
          <w:szCs w:val="22"/>
          <w:lang w:val="fr-CA"/>
        </w:rPr>
        <w:t xml:space="preserve">anticancéreux en Dénomination Commune Internationale (D.C.I) </w:t>
      </w:r>
      <w:r w:rsidRPr="005F14F1">
        <w:rPr>
          <w:rFonts w:ascii="Tahoma" w:hAnsi="Tahoma" w:cs="Tahoma"/>
          <w:sz w:val="22"/>
          <w:szCs w:val="22"/>
        </w:rPr>
        <w:t>dans le cadre d’un marché qui sera conclu avec le ou les fournisseurs retenu(s) à l’issue de l’Appel d’Offres International Ouvert.</w:t>
      </w:r>
    </w:p>
    <w:p w:rsidR="00B45DFA" w:rsidRPr="005F14F1" w:rsidRDefault="00B45DFA" w:rsidP="00B45DFA">
      <w:pPr>
        <w:numPr>
          <w:ilvl w:val="0"/>
          <w:numId w:val="1"/>
        </w:numPr>
        <w:spacing w:after="200" w:line="276" w:lineRule="auto"/>
        <w:contextualSpacing/>
        <w:rPr>
          <w:rFonts w:ascii="Tahoma" w:hAnsi="Tahoma" w:cs="Tahoma"/>
          <w:sz w:val="22"/>
          <w:szCs w:val="22"/>
          <w:lang w:val="fr-CA"/>
        </w:rPr>
      </w:pPr>
      <w:r w:rsidRPr="005F14F1">
        <w:rPr>
          <w:rFonts w:ascii="Tahoma" w:hAnsi="Tahoma" w:cs="Tahoma"/>
          <w:sz w:val="22"/>
          <w:szCs w:val="22"/>
        </w:rPr>
        <w:t xml:space="preserve">La Pharmacie Populaire du Mali sollicite des offres fermées de la part des candidats éligibles et répondant aux qualifications requises pour la livraison des médicaments </w:t>
      </w:r>
      <w:r w:rsidRPr="005F14F1">
        <w:rPr>
          <w:rFonts w:ascii="Tahoma" w:hAnsi="Tahoma" w:cs="Tahoma"/>
          <w:sz w:val="22"/>
          <w:szCs w:val="22"/>
          <w:lang w:val="fr-CA"/>
        </w:rPr>
        <w:t xml:space="preserve">anticancéreux en Dénomination Commune Internationale (D.C.I) en trente (30) articles. Chaque article constitue un marché et le candidat peut postuler pour un ou plusieurs articles et être attributaire d’un article ou plusieurs articles. </w:t>
      </w:r>
    </w:p>
    <w:p w:rsidR="00B45DFA" w:rsidRPr="005F14F1" w:rsidRDefault="00B45DFA" w:rsidP="00B45DFA">
      <w:pPr>
        <w:spacing w:after="200" w:line="276" w:lineRule="auto"/>
        <w:ind w:left="720"/>
        <w:contextualSpacing/>
        <w:rPr>
          <w:rFonts w:ascii="Tahoma" w:hAnsi="Tahoma" w:cs="Tahoma"/>
          <w:sz w:val="22"/>
          <w:szCs w:val="22"/>
          <w:lang w:val="fr-CA"/>
        </w:rPr>
      </w:pPr>
    </w:p>
    <w:p w:rsidR="00B45DFA" w:rsidRPr="005F14F1" w:rsidRDefault="00B45DFA" w:rsidP="00B45DFA">
      <w:pPr>
        <w:numPr>
          <w:ilvl w:val="0"/>
          <w:numId w:val="1"/>
        </w:numPr>
        <w:spacing w:after="160" w:line="259" w:lineRule="auto"/>
        <w:contextualSpacing/>
        <w:rPr>
          <w:rFonts w:eastAsia="Calibri"/>
          <w:szCs w:val="24"/>
          <w:lang w:eastAsia="en-US"/>
        </w:rPr>
      </w:pPr>
      <w:r w:rsidRPr="005F14F1">
        <w:rPr>
          <w:rFonts w:ascii="Tahoma" w:hAnsi="Tahoma" w:cs="Tahoma"/>
          <w:sz w:val="22"/>
          <w:szCs w:val="22"/>
        </w:rPr>
        <w:t>La passation du Marché sera conduite par Appel d’Offres International Ouvert tel que défini dans le Code des Marchés publics à l’article 50</w:t>
      </w:r>
      <w:r w:rsidRPr="005F14F1">
        <w:rPr>
          <w:rFonts w:ascii="Tahoma" w:hAnsi="Tahoma" w:cs="Tahoma"/>
          <w:iCs/>
          <w:sz w:val="22"/>
          <w:szCs w:val="22"/>
        </w:rPr>
        <w:t>,</w:t>
      </w:r>
      <w:r w:rsidRPr="005F14F1">
        <w:rPr>
          <w:rFonts w:ascii="Tahoma" w:hAnsi="Tahoma" w:cs="Tahoma"/>
          <w:sz w:val="22"/>
          <w:szCs w:val="22"/>
        </w:rPr>
        <w:t xml:space="preserve"> et ouvert à tous les candidats éligibles.</w:t>
      </w:r>
    </w:p>
    <w:p w:rsidR="00B45DFA" w:rsidRPr="005F14F1" w:rsidRDefault="00B45DFA" w:rsidP="00B45DFA">
      <w:pPr>
        <w:spacing w:after="160" w:line="259" w:lineRule="auto"/>
        <w:contextualSpacing/>
        <w:rPr>
          <w:rFonts w:eastAsia="Calibri"/>
          <w:szCs w:val="24"/>
          <w:lang w:eastAsia="en-US"/>
        </w:rPr>
      </w:pPr>
    </w:p>
    <w:p w:rsidR="00B45DFA" w:rsidRPr="005F14F1" w:rsidRDefault="00B45DFA" w:rsidP="00B45DFA">
      <w:pPr>
        <w:numPr>
          <w:ilvl w:val="0"/>
          <w:numId w:val="1"/>
        </w:numPr>
        <w:spacing w:after="160" w:line="259" w:lineRule="auto"/>
        <w:contextualSpacing/>
        <w:jc w:val="both"/>
        <w:rPr>
          <w:rFonts w:eastAsia="Calibri"/>
          <w:szCs w:val="24"/>
          <w:lang w:eastAsia="en-US"/>
        </w:rPr>
      </w:pPr>
      <w:r w:rsidRPr="005F14F1">
        <w:rPr>
          <w:rFonts w:eastAsia="Calibri"/>
          <w:szCs w:val="24"/>
          <w:lang w:eastAsia="en-US"/>
        </w:rPr>
        <w:t>Les candidats intéressés peuvent obtenir des informations auprès de la Pharmacie Populaire du Mali, secrétariat Général de la Direction  Générale de la Pharmacie Populaire du Mali, Avenue Moussa TRAVELE Porte 724 quartier du fleuve Bamako, MALI BP : 277  Téléphone : (223) 20 22 50 59 – (223) 20 22 50 93, Fax : (223) 20 22 90 34 et prendre connaissance des documents d’Appel d’Offres à l’adresse mentionnée ci-après secrétariat Général de la Direction  Générale de la Pharmacie Populaire du Mali, Avenue Moussa TRAVELE Porte 724 quartier du fleuve Bamako, MALI BP : 277 de jours ouvrables aux heures de service en vigueur</w:t>
      </w:r>
      <w:r w:rsidRPr="005F14F1">
        <w:rPr>
          <w:rFonts w:eastAsia="Calibri"/>
          <w:i/>
          <w:szCs w:val="24"/>
          <w:lang w:eastAsia="en-US"/>
        </w:rPr>
        <w:t>.</w:t>
      </w:r>
    </w:p>
    <w:p w:rsidR="00B45DFA" w:rsidRPr="005F14F1" w:rsidRDefault="00B45DFA" w:rsidP="00B45DFA">
      <w:pPr>
        <w:spacing w:after="160" w:line="259" w:lineRule="auto"/>
        <w:contextualSpacing/>
        <w:jc w:val="both"/>
        <w:rPr>
          <w:rFonts w:eastAsia="Calibri"/>
          <w:szCs w:val="24"/>
          <w:lang w:eastAsia="en-US"/>
        </w:rPr>
      </w:pPr>
    </w:p>
    <w:p w:rsidR="00B45DFA" w:rsidRPr="00A5219F" w:rsidRDefault="00B45DFA" w:rsidP="00B45DFA">
      <w:pPr>
        <w:numPr>
          <w:ilvl w:val="0"/>
          <w:numId w:val="1"/>
        </w:numPr>
        <w:spacing w:after="200" w:line="276" w:lineRule="auto"/>
        <w:jc w:val="both"/>
        <w:rPr>
          <w:rFonts w:ascii="Tahoma" w:hAnsi="Tahoma" w:cs="Tahoma"/>
          <w:sz w:val="22"/>
          <w:szCs w:val="22"/>
        </w:rPr>
      </w:pPr>
      <w:r w:rsidRPr="00424492">
        <w:rPr>
          <w:rFonts w:ascii="Tahoma" w:hAnsi="Tahoma" w:cs="Tahoma"/>
          <w:sz w:val="22"/>
          <w:szCs w:val="22"/>
        </w:rPr>
        <w:t xml:space="preserve">Les conditions de qualification applicables aux Soumissionnaires sont les suivantes : </w:t>
      </w:r>
    </w:p>
    <w:p w:rsidR="00B45DFA" w:rsidRPr="00424492" w:rsidRDefault="00B45DFA" w:rsidP="00B45DFA">
      <w:pPr>
        <w:numPr>
          <w:ilvl w:val="0"/>
          <w:numId w:val="4"/>
        </w:numPr>
        <w:spacing w:after="200" w:line="276" w:lineRule="auto"/>
        <w:jc w:val="both"/>
        <w:rPr>
          <w:rFonts w:ascii="Tahoma" w:hAnsi="Tahoma" w:cs="Tahoma"/>
          <w:sz w:val="22"/>
          <w:szCs w:val="22"/>
        </w:rPr>
      </w:pPr>
      <w:r w:rsidRPr="00424492">
        <w:rPr>
          <w:rFonts w:ascii="Tahoma" w:hAnsi="Tahoma" w:cs="Tahoma"/>
          <w:sz w:val="22"/>
          <w:szCs w:val="22"/>
        </w:rPr>
        <w:t>Capacité financière</w:t>
      </w:r>
      <w:r>
        <w:rPr>
          <w:rFonts w:ascii="Tahoma" w:hAnsi="Tahoma" w:cs="Tahoma"/>
          <w:sz w:val="22"/>
          <w:szCs w:val="22"/>
        </w:rPr>
        <w:t> :</w:t>
      </w:r>
    </w:p>
    <w:p w:rsidR="00B45DFA" w:rsidRPr="00424492" w:rsidRDefault="00B45DFA" w:rsidP="00B45DFA">
      <w:pPr>
        <w:spacing w:after="200" w:line="276" w:lineRule="auto"/>
        <w:ind w:left="720"/>
        <w:jc w:val="both"/>
        <w:rPr>
          <w:rFonts w:ascii="Tahoma" w:hAnsi="Tahoma" w:cs="Tahoma"/>
          <w:sz w:val="22"/>
          <w:szCs w:val="22"/>
        </w:rPr>
      </w:pPr>
      <w:r w:rsidRPr="00424492">
        <w:rPr>
          <w:rFonts w:ascii="Tahoma" w:hAnsi="Tahoma" w:cs="Tahoma"/>
          <w:sz w:val="22"/>
          <w:szCs w:val="22"/>
        </w:rPr>
        <w:t xml:space="preserve">Le Soumissionnaire doit fournir la preuve écrite qu’il satisfait aux exigences ci-après : Présenter en langue française les états financiers </w:t>
      </w:r>
      <w:r>
        <w:rPr>
          <w:rFonts w:ascii="Tahoma" w:hAnsi="Tahoma" w:cs="Tahoma"/>
          <w:sz w:val="22"/>
          <w:szCs w:val="22"/>
        </w:rPr>
        <w:t xml:space="preserve">en francs CFA ou Euro </w:t>
      </w:r>
      <w:r w:rsidRPr="00424492">
        <w:rPr>
          <w:rFonts w:ascii="Tahoma" w:hAnsi="Tahoma" w:cs="Tahoma"/>
          <w:sz w:val="22"/>
          <w:szCs w:val="22"/>
        </w:rPr>
        <w:t xml:space="preserve">(bilans, extraits </w:t>
      </w:r>
      <w:r w:rsidRPr="00424492">
        <w:rPr>
          <w:rFonts w:ascii="Tahoma" w:hAnsi="Tahoma" w:cs="Tahoma"/>
          <w:sz w:val="22"/>
          <w:szCs w:val="22"/>
        </w:rPr>
        <w:lastRenderedPageBreak/>
        <w:t>de bilans ou comptes d’exploitation), certifiés par un expert-comptable agrée ou attestés par un comptable agrée inscrit à l’ordre pour les trois (03) derniers années 201</w:t>
      </w:r>
      <w:r>
        <w:rPr>
          <w:rFonts w:ascii="Tahoma" w:hAnsi="Tahoma" w:cs="Tahoma"/>
          <w:sz w:val="22"/>
          <w:szCs w:val="22"/>
        </w:rPr>
        <w:t>8</w:t>
      </w:r>
      <w:r w:rsidRPr="00424492">
        <w:rPr>
          <w:rFonts w:ascii="Tahoma" w:hAnsi="Tahoma" w:cs="Tahoma"/>
          <w:sz w:val="22"/>
          <w:szCs w:val="22"/>
        </w:rPr>
        <w:t>, 201</w:t>
      </w:r>
      <w:r>
        <w:rPr>
          <w:rFonts w:ascii="Tahoma" w:hAnsi="Tahoma" w:cs="Tahoma"/>
          <w:sz w:val="22"/>
          <w:szCs w:val="22"/>
        </w:rPr>
        <w:t>9</w:t>
      </w:r>
      <w:r w:rsidRPr="00424492">
        <w:rPr>
          <w:rFonts w:ascii="Tahoma" w:hAnsi="Tahoma" w:cs="Tahoma"/>
          <w:sz w:val="22"/>
          <w:szCs w:val="22"/>
        </w:rPr>
        <w:t xml:space="preserve"> et 20</w:t>
      </w:r>
      <w:r>
        <w:rPr>
          <w:rFonts w:ascii="Tahoma" w:hAnsi="Tahoma" w:cs="Tahoma"/>
          <w:sz w:val="22"/>
          <w:szCs w:val="22"/>
        </w:rPr>
        <w:t>20</w:t>
      </w:r>
      <w:r w:rsidRPr="00424492">
        <w:rPr>
          <w:rFonts w:ascii="Tahoma" w:hAnsi="Tahoma" w:cs="Tahoma"/>
          <w:sz w:val="22"/>
          <w:szCs w:val="22"/>
        </w:rPr>
        <w:t xml:space="preserve"> desquels on peut tirer les chiffres d’affaires. Sur ces bilans doit figurer la mention suivante apposée par le service compétent des Impôts « Bilans ou extrait de bilans conformes aux déclarations souscrites au service des Impôts » ;</w:t>
      </w:r>
    </w:p>
    <w:p w:rsidR="00B45DFA" w:rsidRPr="00EF0F12" w:rsidRDefault="00B45DFA" w:rsidP="00B45DFA">
      <w:pPr>
        <w:numPr>
          <w:ilvl w:val="0"/>
          <w:numId w:val="2"/>
        </w:numPr>
        <w:tabs>
          <w:tab w:val="left" w:pos="-1440"/>
          <w:tab w:val="left" w:pos="-720"/>
          <w:tab w:val="left" w:pos="0"/>
          <w:tab w:val="left" w:pos="1440"/>
          <w:tab w:val="left" w:pos="2160"/>
          <w:tab w:val="left" w:pos="4680"/>
          <w:tab w:val="center" w:pos="7380"/>
        </w:tabs>
        <w:spacing w:line="259" w:lineRule="auto"/>
        <w:contextualSpacing/>
        <w:jc w:val="both"/>
        <w:rPr>
          <w:rFonts w:ascii="Tahoma" w:eastAsia="Calibri" w:hAnsi="Tahoma" w:cs="Tahoma"/>
          <w:szCs w:val="22"/>
          <w:lang w:eastAsia="en-US"/>
        </w:rPr>
      </w:pPr>
      <w:r w:rsidRPr="00EF0F12">
        <w:rPr>
          <w:rFonts w:ascii="Tahoma" w:eastAsia="Calibri" w:hAnsi="Tahoma" w:cs="Tahoma"/>
          <w:sz w:val="22"/>
          <w:szCs w:val="22"/>
          <w:lang w:eastAsia="en-US"/>
        </w:rPr>
        <w:t>Avoir réalisé un chiffre d’affaires moyen pour les trois (03) dernières années (2018-2019 et 2020) superieur ou égal à la moyenne de l’offres, ce chiffre d’affaire moyen doit être tiré des bilans ou états financiers sus indiquées ;</w:t>
      </w:r>
    </w:p>
    <w:p w:rsidR="00B45DFA" w:rsidRPr="00EF0F12" w:rsidRDefault="00B45DFA" w:rsidP="00B45DFA">
      <w:pPr>
        <w:tabs>
          <w:tab w:val="left" w:pos="-1440"/>
          <w:tab w:val="left" w:pos="-720"/>
          <w:tab w:val="left" w:pos="0"/>
          <w:tab w:val="left" w:pos="1440"/>
          <w:tab w:val="left" w:pos="2160"/>
          <w:tab w:val="left" w:pos="4680"/>
          <w:tab w:val="center" w:pos="7380"/>
        </w:tabs>
        <w:spacing w:line="259" w:lineRule="auto"/>
        <w:ind w:left="420"/>
        <w:contextualSpacing/>
        <w:jc w:val="both"/>
        <w:rPr>
          <w:rFonts w:ascii="Tahoma" w:eastAsia="Calibri" w:hAnsi="Tahoma" w:cs="Tahoma"/>
          <w:szCs w:val="22"/>
          <w:lang w:eastAsia="en-US"/>
        </w:rPr>
      </w:pPr>
      <w:r w:rsidRPr="00EF0F12">
        <w:rPr>
          <w:rFonts w:ascii="Tahoma" w:eastAsia="Calibri" w:hAnsi="Tahoma" w:cs="Tahoma"/>
          <w:sz w:val="22"/>
          <w:szCs w:val="22"/>
          <w:lang w:eastAsia="en-US"/>
        </w:rPr>
        <w:t>Les conditions à remplir pour les sociétés nouvelement créées sont les suivantes :</w:t>
      </w:r>
    </w:p>
    <w:p w:rsidR="00B45DFA" w:rsidRPr="00EF0F12" w:rsidRDefault="00B45DFA" w:rsidP="00B45DFA">
      <w:pPr>
        <w:numPr>
          <w:ilvl w:val="0"/>
          <w:numId w:val="3"/>
        </w:numPr>
        <w:tabs>
          <w:tab w:val="left" w:pos="-1440"/>
          <w:tab w:val="left" w:pos="-720"/>
          <w:tab w:val="left" w:pos="0"/>
          <w:tab w:val="left" w:pos="1440"/>
          <w:tab w:val="left" w:pos="2160"/>
          <w:tab w:val="left" w:pos="4680"/>
          <w:tab w:val="center" w:pos="7380"/>
        </w:tabs>
        <w:spacing w:line="259" w:lineRule="auto"/>
        <w:contextualSpacing/>
        <w:jc w:val="both"/>
        <w:rPr>
          <w:rFonts w:ascii="Tahoma" w:eastAsia="Calibri" w:hAnsi="Tahoma" w:cs="Tahoma"/>
          <w:szCs w:val="22"/>
          <w:lang w:eastAsia="en-US"/>
        </w:rPr>
      </w:pPr>
      <w:r w:rsidRPr="00EF0F12">
        <w:rPr>
          <w:rFonts w:ascii="Tahoma" w:eastAsia="Calibri" w:hAnsi="Tahoma" w:cs="Tahoma"/>
          <w:sz w:val="22"/>
          <w:szCs w:val="22"/>
          <w:lang w:eastAsia="en-US"/>
        </w:rPr>
        <w:t xml:space="preserve">Pour les sociétés nouvellement créées et dont la date d’établissement du premier bilan n ‘est pas arrivée à la date dépôt des offres : elles sont dispensées de la présentation des états financiers et la preuve des expériences simillaires. Toutefois, pour l’apréciation des expériences, la candidature de ces sociétés sera examinée au regard des capacités professionnelles et techniques par le biais des expériences et réfférences de leurs dirigeants ou collaborateurs sur la base de leurs CV et diplômes. </w:t>
      </w:r>
    </w:p>
    <w:p w:rsidR="00B45DFA" w:rsidRPr="00EF0F12" w:rsidRDefault="00B45DFA" w:rsidP="00B45DFA">
      <w:pPr>
        <w:numPr>
          <w:ilvl w:val="0"/>
          <w:numId w:val="3"/>
        </w:numPr>
        <w:tabs>
          <w:tab w:val="left" w:pos="-1440"/>
          <w:tab w:val="left" w:pos="-720"/>
          <w:tab w:val="left" w:pos="0"/>
          <w:tab w:val="left" w:pos="1440"/>
          <w:tab w:val="left" w:pos="2160"/>
          <w:tab w:val="left" w:pos="4680"/>
          <w:tab w:val="center" w:pos="7380"/>
        </w:tabs>
        <w:spacing w:line="259" w:lineRule="auto"/>
        <w:contextualSpacing/>
        <w:jc w:val="both"/>
        <w:rPr>
          <w:rFonts w:ascii="Tahoma" w:eastAsia="Calibri" w:hAnsi="Tahoma" w:cs="Tahoma"/>
          <w:szCs w:val="22"/>
          <w:lang w:eastAsia="en-US"/>
        </w:rPr>
      </w:pPr>
      <w:r w:rsidRPr="00EF0F12">
        <w:rPr>
          <w:rFonts w:ascii="Tahoma" w:eastAsia="Calibri" w:hAnsi="Tahoma" w:cs="Tahoma"/>
          <w:sz w:val="22"/>
          <w:szCs w:val="22"/>
          <w:lang w:eastAsia="en-US"/>
        </w:rPr>
        <w:t>Pour apprécier leurs capacités financières, elles doivent fournir une attestation bancaire de ligne de crédit bancaire ou de disponiblité de fonds d’un montant au moins égal au montant de l’offre ;</w:t>
      </w:r>
    </w:p>
    <w:p w:rsidR="00B45DFA" w:rsidRPr="00EF0F12" w:rsidRDefault="00B45DFA" w:rsidP="00B45DFA">
      <w:pPr>
        <w:numPr>
          <w:ilvl w:val="0"/>
          <w:numId w:val="3"/>
        </w:numPr>
        <w:tabs>
          <w:tab w:val="left" w:pos="-1440"/>
          <w:tab w:val="left" w:pos="-720"/>
          <w:tab w:val="left" w:pos="0"/>
          <w:tab w:val="left" w:pos="1440"/>
          <w:tab w:val="left" w:pos="2160"/>
          <w:tab w:val="left" w:pos="4680"/>
          <w:tab w:val="center" w:pos="7380"/>
        </w:tabs>
        <w:spacing w:line="259" w:lineRule="auto"/>
        <w:contextualSpacing/>
        <w:jc w:val="both"/>
        <w:rPr>
          <w:rFonts w:ascii="Tahoma" w:eastAsia="Calibri" w:hAnsi="Tahoma" w:cs="Tahoma"/>
          <w:szCs w:val="22"/>
          <w:lang w:eastAsia="en-US"/>
        </w:rPr>
      </w:pPr>
      <w:r w:rsidRPr="00EF0F12">
        <w:rPr>
          <w:rFonts w:ascii="Tahoma" w:eastAsia="Calibri" w:hAnsi="Tahoma" w:cs="Tahoma"/>
          <w:sz w:val="22"/>
          <w:szCs w:val="22"/>
          <w:lang w:eastAsia="en-US"/>
        </w:rPr>
        <w:t xml:space="preserve">    Pour les sociétés dont la date de création ou du bébut d’activité ne leur permet pas de fournir qu’un ou deux états financiers, elles doivent, en plus des états financiers fournir une attestation bancaire de ligne de credit bancaire ou de disponibilité de fonds au moins égal à 30% du mont de l’offre.</w:t>
      </w:r>
    </w:p>
    <w:p w:rsidR="00B45DFA" w:rsidRPr="004654BD" w:rsidRDefault="00B45DFA" w:rsidP="00B45DFA">
      <w:pPr>
        <w:numPr>
          <w:ilvl w:val="0"/>
          <w:numId w:val="3"/>
        </w:numPr>
        <w:tabs>
          <w:tab w:val="left" w:pos="-1440"/>
          <w:tab w:val="left" w:pos="-720"/>
          <w:tab w:val="left" w:pos="0"/>
          <w:tab w:val="left" w:pos="1440"/>
          <w:tab w:val="left" w:pos="2160"/>
          <w:tab w:val="left" w:pos="4680"/>
          <w:tab w:val="center" w:pos="7380"/>
        </w:tabs>
        <w:spacing w:line="259" w:lineRule="auto"/>
        <w:contextualSpacing/>
        <w:jc w:val="both"/>
        <w:rPr>
          <w:rFonts w:ascii="Calibri" w:eastAsia="Calibri" w:hAnsi="Calibri"/>
          <w:szCs w:val="22"/>
          <w:lang w:eastAsia="en-US"/>
        </w:rPr>
      </w:pPr>
      <w:r w:rsidRPr="00EF0F12">
        <w:rPr>
          <w:rFonts w:ascii="Tahoma" w:eastAsia="Calibri" w:hAnsi="Tahoma" w:cs="Tahoma"/>
          <w:sz w:val="22"/>
          <w:szCs w:val="22"/>
          <w:lang w:eastAsia="en-US"/>
        </w:rPr>
        <w:t>Pour l’apreciation de leurs expériences, ces sociétés doivent fournir la preuve d’avoir réalisé au moins un marché similaire</w:t>
      </w:r>
      <w:r>
        <w:rPr>
          <w:rFonts w:ascii="Calibri" w:eastAsia="Calibri" w:hAnsi="Calibri"/>
          <w:sz w:val="22"/>
          <w:szCs w:val="22"/>
          <w:lang w:eastAsia="en-US"/>
        </w:rPr>
        <w:t>.</w:t>
      </w:r>
    </w:p>
    <w:p w:rsidR="00B45DFA" w:rsidRPr="005F14F1" w:rsidRDefault="00B45DFA" w:rsidP="00B45DFA">
      <w:pPr>
        <w:spacing w:after="160" w:line="259" w:lineRule="auto"/>
        <w:ind w:left="720"/>
        <w:contextualSpacing/>
        <w:jc w:val="both"/>
        <w:rPr>
          <w:rFonts w:eastAsia="Calibri"/>
          <w:szCs w:val="24"/>
          <w:lang w:eastAsia="en-US"/>
        </w:rPr>
      </w:pPr>
    </w:p>
    <w:p w:rsidR="00B45DFA" w:rsidRPr="005F14F1" w:rsidRDefault="00B45DFA" w:rsidP="00B45DFA">
      <w:pPr>
        <w:numPr>
          <w:ilvl w:val="0"/>
          <w:numId w:val="1"/>
        </w:numPr>
        <w:spacing w:after="160" w:line="259" w:lineRule="auto"/>
        <w:contextualSpacing/>
        <w:jc w:val="both"/>
        <w:rPr>
          <w:rFonts w:eastAsia="Calibri"/>
          <w:szCs w:val="24"/>
          <w:lang w:eastAsia="en-US"/>
        </w:rPr>
      </w:pPr>
      <w:r w:rsidRPr="005F14F1">
        <w:rPr>
          <w:rFonts w:eastAsia="Calibri"/>
          <w:szCs w:val="24"/>
          <w:lang w:eastAsia="en-US"/>
        </w:rPr>
        <w:t>Les candidats intéressés peuvent consulter gratuitement le dossier d’Appel d’offres complet ou le retirer à titre onéreux contre paiement</w:t>
      </w:r>
      <w:r w:rsidRPr="005F14F1">
        <w:rPr>
          <w:rFonts w:eastAsia="Calibri"/>
          <w:szCs w:val="24"/>
          <w:vertAlign w:val="superscript"/>
          <w:lang w:eastAsia="en-US"/>
        </w:rPr>
        <w:footnoteReference w:id="1"/>
      </w:r>
      <w:r w:rsidRPr="005F14F1">
        <w:rPr>
          <w:rFonts w:eastAsia="Calibri"/>
          <w:szCs w:val="24"/>
          <w:lang w:eastAsia="en-US"/>
        </w:rPr>
        <w:t xml:space="preserve">  d’une somme non remboursable de 200 000</w:t>
      </w:r>
      <w:r w:rsidRPr="005F14F1">
        <w:rPr>
          <w:rFonts w:eastAsia="Calibri"/>
          <w:i/>
          <w:szCs w:val="24"/>
          <w:lang w:eastAsia="en-US"/>
        </w:rPr>
        <w:t xml:space="preserve"> F CFA (deux cent millefrancs CFA)</w:t>
      </w:r>
      <w:r w:rsidRPr="005F14F1">
        <w:rPr>
          <w:rFonts w:eastAsia="Calibri"/>
          <w:szCs w:val="24"/>
          <w:lang w:eastAsia="en-US"/>
        </w:rPr>
        <w:t xml:space="preserve"> à l’adresse mentionnée ci-après secrétariat Général de la Direction  Générale de la Pharmacie Populaire du Mali, Avenue Moussa TRAVELE Porte 724 quartier du fleuve Bamako, MALI BP : 277  Téléphone : (223) 20 22 50 59 – (223) 20 22 50 93, Fax : (223) 20 22 90 34. La méthode de paiement sera par espèce,  chèque ou mandat international à l’ordre de la Pharmacie Populaire du Mali, ou par versement sur notre compte bancaire ouvert auprès de la Banque de Développement du Mali SA (BDM-SA) Bamako tel (223) 20 22 20 50/20 22 40 88, Fax (223) 20 22 50 85 sous le numéro 204 01 00 1537-46 BDM SA/SIEGE BAMAKO. Le Dossier d’Appel d’Offres sera adressé par retrait ou envoi électronique.</w:t>
      </w:r>
    </w:p>
    <w:p w:rsidR="00B45DFA" w:rsidRPr="005F14F1" w:rsidRDefault="00B45DFA" w:rsidP="00B45DFA">
      <w:pPr>
        <w:spacing w:after="160" w:line="259" w:lineRule="auto"/>
        <w:ind w:left="720"/>
        <w:contextualSpacing/>
        <w:jc w:val="both"/>
        <w:rPr>
          <w:rFonts w:eastAsia="Calibri"/>
          <w:szCs w:val="24"/>
          <w:lang w:eastAsia="en-US"/>
        </w:rPr>
      </w:pPr>
    </w:p>
    <w:p w:rsidR="00B45DFA" w:rsidRPr="005F14F1" w:rsidRDefault="00B45DFA" w:rsidP="00B45DFA">
      <w:pPr>
        <w:numPr>
          <w:ilvl w:val="0"/>
          <w:numId w:val="1"/>
        </w:numPr>
        <w:spacing w:after="160" w:line="259" w:lineRule="auto"/>
        <w:contextualSpacing/>
        <w:jc w:val="both"/>
        <w:rPr>
          <w:rFonts w:eastAsia="Calibri"/>
          <w:szCs w:val="24"/>
          <w:lang w:eastAsia="en-US"/>
        </w:rPr>
      </w:pPr>
      <w:r w:rsidRPr="005F14F1">
        <w:rPr>
          <w:rFonts w:eastAsia="Calibri"/>
          <w:szCs w:val="24"/>
          <w:lang w:eastAsia="en-US"/>
        </w:rPr>
        <w:t xml:space="preserve">Les offres devront être soumises à l’adresse ci-après Direction  Générale de la Pharmacie Populaire du Mali, Avenue Moussa TRAVELE Porte 724 quartier du fleuve Bamako, MALI BP : 277  Téléphone : (223) 20 22 50 59 – (223) 20 22 50 93, Fax : (223) 20 22 90 34 au plus tard </w:t>
      </w:r>
      <w:r w:rsidRPr="00DA722F">
        <w:rPr>
          <w:rFonts w:ascii="Tahoma" w:hAnsi="Tahoma" w:cs="Tahoma"/>
          <w:color w:val="FF0000"/>
          <w:sz w:val="22"/>
          <w:szCs w:val="22"/>
        </w:rPr>
        <w:t>le ------------ 2022</w:t>
      </w:r>
      <w:r w:rsidRPr="005F14F1">
        <w:rPr>
          <w:rFonts w:ascii="Tahoma" w:hAnsi="Tahoma" w:cs="Tahoma"/>
          <w:sz w:val="22"/>
          <w:szCs w:val="22"/>
        </w:rPr>
        <w:t xml:space="preserve"> </w:t>
      </w:r>
      <w:r w:rsidRPr="005F14F1">
        <w:rPr>
          <w:rFonts w:eastAsia="Calibri"/>
          <w:szCs w:val="24"/>
          <w:lang w:eastAsia="en-US"/>
        </w:rPr>
        <w:t>à 10h 00. Les offres remises en retard ne seront pas acceptées.</w:t>
      </w:r>
    </w:p>
    <w:p w:rsidR="00B45DFA" w:rsidRPr="005F14F1" w:rsidRDefault="00B45DFA" w:rsidP="00B45DFA">
      <w:pPr>
        <w:spacing w:after="160" w:line="259" w:lineRule="auto"/>
        <w:contextualSpacing/>
        <w:jc w:val="both"/>
        <w:rPr>
          <w:rFonts w:eastAsia="Calibri"/>
          <w:szCs w:val="24"/>
          <w:lang w:eastAsia="en-US"/>
        </w:rPr>
      </w:pPr>
    </w:p>
    <w:p w:rsidR="00B45DFA" w:rsidRPr="005F14F1" w:rsidRDefault="00B45DFA" w:rsidP="00B45DFA">
      <w:pPr>
        <w:numPr>
          <w:ilvl w:val="0"/>
          <w:numId w:val="1"/>
        </w:numPr>
        <w:spacing w:after="160" w:line="259" w:lineRule="auto"/>
        <w:contextualSpacing/>
        <w:jc w:val="both"/>
        <w:rPr>
          <w:rFonts w:eastAsia="Calibri"/>
          <w:szCs w:val="24"/>
          <w:lang w:eastAsia="en-US"/>
        </w:rPr>
      </w:pPr>
      <w:r w:rsidRPr="005F14F1">
        <w:rPr>
          <w:rFonts w:eastAsia="Calibri"/>
          <w:szCs w:val="24"/>
          <w:lang w:eastAsia="en-US"/>
        </w:rPr>
        <w:lastRenderedPageBreak/>
        <w:t>Les offres doivent comprendre une garantie de soumission, Le montant de la caution est fixé par article (voir tableau ci-dessous).</w:t>
      </w:r>
    </w:p>
    <w:p w:rsidR="00B45DFA" w:rsidRPr="005F14F1" w:rsidRDefault="00B45DFA" w:rsidP="00B45DFA">
      <w:pPr>
        <w:spacing w:line="276" w:lineRule="auto"/>
        <w:ind w:left="720"/>
        <w:jc w:val="both"/>
        <w:rPr>
          <w:rFonts w:ascii="Verdana" w:hAnsi="Verdana" w:cs="Verdana"/>
          <w:b/>
          <w:sz w:val="20"/>
          <w:lang w:val="fr-CA"/>
        </w:rPr>
      </w:pPr>
    </w:p>
    <w:tbl>
      <w:tblPr>
        <w:tblW w:w="8485"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940"/>
        <w:gridCol w:w="604"/>
        <w:gridCol w:w="969"/>
        <w:gridCol w:w="3093"/>
      </w:tblGrid>
      <w:tr w:rsidR="00B45DFA" w:rsidRPr="005F14F1" w:rsidTr="00C82C2F">
        <w:trPr>
          <w:trHeight w:val="379"/>
        </w:trPr>
        <w:tc>
          <w:tcPr>
            <w:tcW w:w="879" w:type="dxa"/>
            <w:shd w:val="clear" w:color="auto" w:fill="auto"/>
            <w:vAlign w:val="center"/>
          </w:tcPr>
          <w:p w:rsidR="00B45DFA" w:rsidRPr="005F14F1" w:rsidRDefault="00B45DFA" w:rsidP="00C82C2F">
            <w:pPr>
              <w:spacing w:line="360" w:lineRule="auto"/>
              <w:jc w:val="center"/>
              <w:rPr>
                <w:rFonts w:ascii="Tahoma" w:hAnsi="Tahoma" w:cs="Tahoma"/>
                <w:b/>
                <w:bCs/>
                <w:sz w:val="16"/>
                <w:szCs w:val="18"/>
              </w:rPr>
            </w:pPr>
            <w:r w:rsidRPr="005F14F1">
              <w:rPr>
                <w:rFonts w:ascii="Tahoma" w:hAnsi="Tahoma" w:cs="Tahoma"/>
                <w:b/>
                <w:bCs/>
                <w:sz w:val="16"/>
                <w:szCs w:val="18"/>
              </w:rPr>
              <w:t>N°Item</w:t>
            </w:r>
          </w:p>
        </w:tc>
        <w:tc>
          <w:tcPr>
            <w:tcW w:w="2940" w:type="dxa"/>
            <w:tcBorders>
              <w:right w:val="single" w:sz="4" w:space="0" w:color="auto"/>
            </w:tcBorders>
            <w:shd w:val="clear" w:color="auto" w:fill="auto"/>
            <w:vAlign w:val="center"/>
          </w:tcPr>
          <w:p w:rsidR="00B45DFA" w:rsidRPr="005F14F1" w:rsidRDefault="00B45DFA" w:rsidP="00C82C2F">
            <w:pPr>
              <w:spacing w:line="360" w:lineRule="auto"/>
              <w:jc w:val="center"/>
              <w:rPr>
                <w:rFonts w:ascii="Tahoma" w:hAnsi="Tahoma" w:cs="Tahoma"/>
                <w:b/>
                <w:bCs/>
                <w:sz w:val="16"/>
                <w:szCs w:val="18"/>
              </w:rPr>
            </w:pPr>
            <w:r w:rsidRPr="005F14F1">
              <w:rPr>
                <w:rFonts w:ascii="Tahoma" w:hAnsi="Tahoma" w:cs="Tahoma"/>
                <w:b/>
                <w:bCs/>
                <w:sz w:val="16"/>
                <w:szCs w:val="18"/>
              </w:rPr>
              <w:t>Montant caution/item  en F CFA</w:t>
            </w:r>
          </w:p>
        </w:tc>
        <w:tc>
          <w:tcPr>
            <w:tcW w:w="604" w:type="dxa"/>
            <w:tcBorders>
              <w:top w:val="nil"/>
              <w:left w:val="single" w:sz="4" w:space="0" w:color="auto"/>
              <w:bottom w:val="nil"/>
              <w:right w:val="single" w:sz="4" w:space="0" w:color="auto"/>
            </w:tcBorders>
            <w:shd w:val="clear" w:color="auto" w:fill="auto"/>
          </w:tcPr>
          <w:p w:rsidR="00B45DFA" w:rsidRPr="005F14F1" w:rsidRDefault="00B45DFA" w:rsidP="00C82C2F">
            <w:pPr>
              <w:spacing w:line="360" w:lineRule="auto"/>
              <w:rPr>
                <w:rFonts w:ascii="Tahoma" w:hAnsi="Tahoma" w:cs="Tahoma"/>
                <w:b/>
                <w:bCs/>
                <w:sz w:val="16"/>
                <w:szCs w:val="18"/>
              </w:rPr>
            </w:pPr>
          </w:p>
        </w:tc>
        <w:tc>
          <w:tcPr>
            <w:tcW w:w="969" w:type="dxa"/>
            <w:tcBorders>
              <w:left w:val="single" w:sz="4" w:space="0" w:color="auto"/>
            </w:tcBorders>
            <w:shd w:val="clear" w:color="auto" w:fill="auto"/>
            <w:vAlign w:val="center"/>
          </w:tcPr>
          <w:p w:rsidR="00B45DFA" w:rsidRPr="005F14F1" w:rsidRDefault="00B45DFA" w:rsidP="00C82C2F">
            <w:pPr>
              <w:spacing w:line="360" w:lineRule="auto"/>
              <w:jc w:val="center"/>
              <w:rPr>
                <w:rFonts w:ascii="Tahoma" w:hAnsi="Tahoma" w:cs="Tahoma"/>
                <w:b/>
                <w:bCs/>
                <w:sz w:val="16"/>
                <w:szCs w:val="18"/>
              </w:rPr>
            </w:pPr>
            <w:r w:rsidRPr="005F14F1">
              <w:rPr>
                <w:rFonts w:ascii="Tahoma" w:hAnsi="Tahoma" w:cs="Tahoma"/>
                <w:b/>
                <w:bCs/>
                <w:sz w:val="16"/>
                <w:szCs w:val="18"/>
              </w:rPr>
              <w:t>N°Item</w:t>
            </w:r>
          </w:p>
        </w:tc>
        <w:tc>
          <w:tcPr>
            <w:tcW w:w="3093" w:type="dxa"/>
            <w:shd w:val="clear" w:color="auto" w:fill="auto"/>
            <w:vAlign w:val="center"/>
          </w:tcPr>
          <w:p w:rsidR="00B45DFA" w:rsidRPr="005F14F1" w:rsidRDefault="00B45DFA" w:rsidP="00C82C2F">
            <w:pPr>
              <w:spacing w:line="360" w:lineRule="auto"/>
              <w:jc w:val="center"/>
              <w:rPr>
                <w:rFonts w:ascii="Tahoma" w:hAnsi="Tahoma" w:cs="Tahoma"/>
                <w:b/>
                <w:bCs/>
                <w:sz w:val="16"/>
                <w:szCs w:val="18"/>
              </w:rPr>
            </w:pPr>
            <w:r w:rsidRPr="005F14F1">
              <w:rPr>
                <w:rFonts w:ascii="Tahoma" w:hAnsi="Tahoma" w:cs="Tahoma"/>
                <w:b/>
                <w:bCs/>
                <w:sz w:val="16"/>
                <w:szCs w:val="18"/>
              </w:rPr>
              <w:t>Montant caution/item  en  F CFA</w:t>
            </w:r>
          </w:p>
        </w:tc>
      </w:tr>
      <w:tr w:rsidR="00B45DFA" w:rsidRPr="005F14F1" w:rsidTr="00C82C2F">
        <w:trPr>
          <w:trHeight w:val="251"/>
        </w:trPr>
        <w:tc>
          <w:tcPr>
            <w:tcW w:w="879" w:type="dxa"/>
            <w:shd w:val="clear" w:color="auto" w:fill="auto"/>
            <w:vAlign w:val="bottom"/>
          </w:tcPr>
          <w:p w:rsidR="00B45DFA" w:rsidRPr="005F14F1" w:rsidRDefault="00B45DFA" w:rsidP="00C82C2F">
            <w:pPr>
              <w:jc w:val="center"/>
              <w:rPr>
                <w:rFonts w:ascii="Tahoma" w:hAnsi="Tahoma" w:cs="Tahoma"/>
                <w:szCs w:val="22"/>
              </w:rPr>
            </w:pPr>
            <w:r w:rsidRPr="005F14F1">
              <w:rPr>
                <w:rFonts w:ascii="Tahoma" w:hAnsi="Tahoma" w:cs="Tahoma"/>
                <w:sz w:val="22"/>
                <w:szCs w:val="22"/>
              </w:rPr>
              <w:t>1</w:t>
            </w:r>
          </w:p>
        </w:tc>
        <w:tc>
          <w:tcPr>
            <w:tcW w:w="2940" w:type="dxa"/>
            <w:tcBorders>
              <w:right w:val="single" w:sz="4" w:space="0" w:color="auto"/>
            </w:tcBorders>
            <w:shd w:val="clear" w:color="auto" w:fill="auto"/>
            <w:vAlign w:val="bottom"/>
          </w:tcPr>
          <w:p w:rsidR="00B45DFA" w:rsidRPr="007C3D93" w:rsidRDefault="00B45DFA" w:rsidP="00C82C2F">
            <w:pPr>
              <w:jc w:val="right"/>
              <w:rPr>
                <w:rFonts w:ascii="Tahoma" w:hAnsi="Tahoma" w:cs="Tahoma"/>
                <w:color w:val="000000"/>
                <w:sz w:val="22"/>
                <w:szCs w:val="22"/>
              </w:rPr>
            </w:pPr>
            <w:r w:rsidRPr="007C3D93">
              <w:rPr>
                <w:rFonts w:ascii="Tahoma" w:hAnsi="Tahoma" w:cs="Tahoma"/>
                <w:color w:val="000000"/>
                <w:sz w:val="22"/>
                <w:szCs w:val="22"/>
              </w:rPr>
              <w:t>436 000</w:t>
            </w:r>
          </w:p>
        </w:tc>
        <w:tc>
          <w:tcPr>
            <w:tcW w:w="604" w:type="dxa"/>
            <w:tcBorders>
              <w:top w:val="nil"/>
              <w:left w:val="single" w:sz="4" w:space="0" w:color="auto"/>
              <w:bottom w:val="nil"/>
              <w:right w:val="single" w:sz="4" w:space="0" w:color="auto"/>
            </w:tcBorders>
            <w:shd w:val="clear" w:color="auto" w:fill="auto"/>
          </w:tcPr>
          <w:p w:rsidR="00B45DFA" w:rsidRPr="005F14F1" w:rsidRDefault="00B45DFA" w:rsidP="00C82C2F">
            <w:pPr>
              <w:jc w:val="right"/>
              <w:rPr>
                <w:rFonts w:ascii="Tahoma" w:hAnsi="Tahoma" w:cs="Tahoma"/>
                <w:sz w:val="22"/>
                <w:szCs w:val="22"/>
              </w:rPr>
            </w:pPr>
          </w:p>
        </w:tc>
        <w:tc>
          <w:tcPr>
            <w:tcW w:w="969" w:type="dxa"/>
            <w:tcBorders>
              <w:left w:val="single" w:sz="4" w:space="0" w:color="auto"/>
            </w:tcBorders>
            <w:shd w:val="clear" w:color="auto" w:fill="auto"/>
            <w:vAlign w:val="bottom"/>
          </w:tcPr>
          <w:p w:rsidR="00B45DFA" w:rsidRPr="005F14F1" w:rsidRDefault="00B45DFA" w:rsidP="00C82C2F">
            <w:pPr>
              <w:jc w:val="center"/>
              <w:rPr>
                <w:rFonts w:ascii="Tahoma" w:hAnsi="Tahoma" w:cs="Tahoma"/>
                <w:szCs w:val="22"/>
              </w:rPr>
            </w:pPr>
            <w:r w:rsidRPr="005F14F1">
              <w:rPr>
                <w:rFonts w:ascii="Tahoma" w:hAnsi="Tahoma" w:cs="Tahoma"/>
                <w:sz w:val="22"/>
                <w:szCs w:val="22"/>
              </w:rPr>
              <w:t>8</w:t>
            </w:r>
          </w:p>
        </w:tc>
        <w:tc>
          <w:tcPr>
            <w:tcW w:w="3093" w:type="dxa"/>
            <w:shd w:val="clear" w:color="auto" w:fill="auto"/>
            <w:vAlign w:val="bottom"/>
          </w:tcPr>
          <w:p w:rsidR="00B45DFA" w:rsidRPr="007C3D93" w:rsidRDefault="00B45DFA" w:rsidP="00C82C2F">
            <w:pPr>
              <w:jc w:val="right"/>
              <w:rPr>
                <w:rFonts w:ascii="Tahoma" w:hAnsi="Tahoma" w:cs="Tahoma"/>
                <w:color w:val="000000"/>
                <w:sz w:val="22"/>
                <w:szCs w:val="22"/>
              </w:rPr>
            </w:pPr>
            <w:r>
              <w:rPr>
                <w:rFonts w:ascii="Tahoma" w:hAnsi="Tahoma" w:cs="Tahoma"/>
                <w:color w:val="000000"/>
                <w:sz w:val="22"/>
                <w:szCs w:val="22"/>
              </w:rPr>
              <w:t>33 840</w:t>
            </w:r>
          </w:p>
        </w:tc>
      </w:tr>
      <w:tr w:rsidR="00B45DFA" w:rsidRPr="005F14F1" w:rsidTr="00C82C2F">
        <w:trPr>
          <w:trHeight w:val="266"/>
        </w:trPr>
        <w:tc>
          <w:tcPr>
            <w:tcW w:w="879" w:type="dxa"/>
            <w:shd w:val="clear" w:color="auto" w:fill="auto"/>
            <w:vAlign w:val="bottom"/>
          </w:tcPr>
          <w:p w:rsidR="00B45DFA" w:rsidRPr="005F14F1" w:rsidRDefault="00B45DFA" w:rsidP="00C82C2F">
            <w:pPr>
              <w:jc w:val="center"/>
              <w:rPr>
                <w:rFonts w:ascii="Tahoma" w:hAnsi="Tahoma" w:cs="Tahoma"/>
                <w:szCs w:val="22"/>
              </w:rPr>
            </w:pPr>
            <w:r w:rsidRPr="005F14F1">
              <w:rPr>
                <w:rFonts w:ascii="Tahoma" w:hAnsi="Tahoma" w:cs="Tahoma"/>
                <w:sz w:val="22"/>
                <w:szCs w:val="22"/>
              </w:rPr>
              <w:t>2</w:t>
            </w:r>
          </w:p>
        </w:tc>
        <w:tc>
          <w:tcPr>
            <w:tcW w:w="2940" w:type="dxa"/>
            <w:tcBorders>
              <w:right w:val="single" w:sz="4" w:space="0" w:color="auto"/>
            </w:tcBorders>
            <w:shd w:val="clear" w:color="auto" w:fill="auto"/>
            <w:vAlign w:val="bottom"/>
          </w:tcPr>
          <w:p w:rsidR="00B45DFA" w:rsidRPr="007C3D93" w:rsidRDefault="00B45DFA" w:rsidP="00C82C2F">
            <w:pPr>
              <w:jc w:val="right"/>
              <w:rPr>
                <w:rFonts w:ascii="Tahoma" w:hAnsi="Tahoma" w:cs="Tahoma"/>
                <w:color w:val="000000"/>
                <w:sz w:val="22"/>
                <w:szCs w:val="22"/>
              </w:rPr>
            </w:pPr>
            <w:r w:rsidRPr="007C3D93">
              <w:rPr>
                <w:rFonts w:ascii="Tahoma" w:hAnsi="Tahoma" w:cs="Tahoma"/>
                <w:color w:val="000000"/>
                <w:sz w:val="22"/>
                <w:szCs w:val="22"/>
              </w:rPr>
              <w:t>9 990</w:t>
            </w:r>
          </w:p>
        </w:tc>
        <w:tc>
          <w:tcPr>
            <w:tcW w:w="604" w:type="dxa"/>
            <w:tcBorders>
              <w:top w:val="nil"/>
              <w:left w:val="single" w:sz="4" w:space="0" w:color="auto"/>
              <w:bottom w:val="nil"/>
              <w:right w:val="single" w:sz="4" w:space="0" w:color="auto"/>
            </w:tcBorders>
            <w:shd w:val="clear" w:color="auto" w:fill="auto"/>
          </w:tcPr>
          <w:p w:rsidR="00B45DFA" w:rsidRPr="005F14F1" w:rsidRDefault="00B45DFA" w:rsidP="00C82C2F">
            <w:pPr>
              <w:jc w:val="right"/>
              <w:rPr>
                <w:rFonts w:ascii="Tahoma" w:hAnsi="Tahoma" w:cs="Tahoma"/>
                <w:sz w:val="22"/>
                <w:szCs w:val="22"/>
              </w:rPr>
            </w:pPr>
          </w:p>
        </w:tc>
        <w:tc>
          <w:tcPr>
            <w:tcW w:w="969" w:type="dxa"/>
            <w:tcBorders>
              <w:left w:val="single" w:sz="4" w:space="0" w:color="auto"/>
            </w:tcBorders>
            <w:shd w:val="clear" w:color="auto" w:fill="auto"/>
            <w:vAlign w:val="bottom"/>
          </w:tcPr>
          <w:p w:rsidR="00B45DFA" w:rsidRPr="005F14F1" w:rsidRDefault="00B45DFA" w:rsidP="00C82C2F">
            <w:pPr>
              <w:jc w:val="center"/>
              <w:rPr>
                <w:rFonts w:ascii="Tahoma" w:hAnsi="Tahoma" w:cs="Tahoma"/>
                <w:szCs w:val="22"/>
              </w:rPr>
            </w:pPr>
            <w:r w:rsidRPr="005F14F1">
              <w:rPr>
                <w:rFonts w:ascii="Tahoma" w:hAnsi="Tahoma" w:cs="Tahoma"/>
                <w:sz w:val="22"/>
                <w:szCs w:val="22"/>
              </w:rPr>
              <w:t>9</w:t>
            </w:r>
          </w:p>
        </w:tc>
        <w:tc>
          <w:tcPr>
            <w:tcW w:w="3093" w:type="dxa"/>
            <w:shd w:val="clear" w:color="auto" w:fill="auto"/>
            <w:vAlign w:val="bottom"/>
          </w:tcPr>
          <w:p w:rsidR="00B45DFA" w:rsidRPr="007C3D93" w:rsidRDefault="00B45DFA" w:rsidP="00C82C2F">
            <w:pPr>
              <w:jc w:val="right"/>
              <w:rPr>
                <w:rFonts w:ascii="Tahoma" w:hAnsi="Tahoma" w:cs="Tahoma"/>
                <w:color w:val="000000"/>
                <w:sz w:val="22"/>
                <w:szCs w:val="22"/>
              </w:rPr>
            </w:pPr>
            <w:r w:rsidRPr="007C3D93">
              <w:rPr>
                <w:rFonts w:ascii="Tahoma" w:hAnsi="Tahoma" w:cs="Tahoma"/>
                <w:color w:val="000000"/>
                <w:sz w:val="22"/>
                <w:szCs w:val="22"/>
              </w:rPr>
              <w:t>1 310 950</w:t>
            </w:r>
          </w:p>
        </w:tc>
      </w:tr>
      <w:tr w:rsidR="00B45DFA" w:rsidRPr="005F14F1" w:rsidTr="00C82C2F">
        <w:trPr>
          <w:trHeight w:val="285"/>
        </w:trPr>
        <w:tc>
          <w:tcPr>
            <w:tcW w:w="879" w:type="dxa"/>
            <w:shd w:val="clear" w:color="auto" w:fill="auto"/>
            <w:vAlign w:val="bottom"/>
          </w:tcPr>
          <w:p w:rsidR="00B45DFA" w:rsidRPr="005F14F1" w:rsidRDefault="00B45DFA" w:rsidP="00C82C2F">
            <w:pPr>
              <w:jc w:val="center"/>
              <w:rPr>
                <w:rFonts w:ascii="Tahoma" w:hAnsi="Tahoma" w:cs="Tahoma"/>
                <w:szCs w:val="22"/>
              </w:rPr>
            </w:pPr>
            <w:r w:rsidRPr="005F14F1">
              <w:rPr>
                <w:rFonts w:ascii="Tahoma" w:hAnsi="Tahoma" w:cs="Tahoma"/>
                <w:sz w:val="22"/>
                <w:szCs w:val="22"/>
              </w:rPr>
              <w:t>3</w:t>
            </w:r>
          </w:p>
        </w:tc>
        <w:tc>
          <w:tcPr>
            <w:tcW w:w="2940" w:type="dxa"/>
            <w:tcBorders>
              <w:right w:val="single" w:sz="4" w:space="0" w:color="auto"/>
            </w:tcBorders>
            <w:shd w:val="clear" w:color="auto" w:fill="auto"/>
            <w:vAlign w:val="bottom"/>
          </w:tcPr>
          <w:p w:rsidR="00B45DFA" w:rsidRPr="007C3D93" w:rsidRDefault="00B45DFA" w:rsidP="00C82C2F">
            <w:pPr>
              <w:jc w:val="right"/>
              <w:rPr>
                <w:rFonts w:ascii="Tahoma" w:hAnsi="Tahoma" w:cs="Tahoma"/>
                <w:color w:val="000000"/>
                <w:sz w:val="22"/>
                <w:szCs w:val="22"/>
              </w:rPr>
            </w:pPr>
            <w:r>
              <w:rPr>
                <w:rFonts w:ascii="Tahoma" w:hAnsi="Tahoma" w:cs="Tahoma"/>
                <w:color w:val="000000"/>
                <w:sz w:val="22"/>
                <w:szCs w:val="22"/>
              </w:rPr>
              <w:t>708 690</w:t>
            </w:r>
          </w:p>
        </w:tc>
        <w:tc>
          <w:tcPr>
            <w:tcW w:w="604" w:type="dxa"/>
            <w:tcBorders>
              <w:top w:val="nil"/>
              <w:left w:val="single" w:sz="4" w:space="0" w:color="auto"/>
              <w:bottom w:val="nil"/>
              <w:right w:val="single" w:sz="4" w:space="0" w:color="auto"/>
            </w:tcBorders>
            <w:shd w:val="clear" w:color="auto" w:fill="auto"/>
          </w:tcPr>
          <w:p w:rsidR="00B45DFA" w:rsidRPr="005F14F1" w:rsidRDefault="00B45DFA" w:rsidP="00C82C2F">
            <w:pPr>
              <w:jc w:val="right"/>
              <w:rPr>
                <w:rFonts w:ascii="Tahoma" w:hAnsi="Tahoma" w:cs="Tahoma"/>
                <w:sz w:val="22"/>
                <w:szCs w:val="22"/>
              </w:rPr>
            </w:pPr>
          </w:p>
        </w:tc>
        <w:tc>
          <w:tcPr>
            <w:tcW w:w="969" w:type="dxa"/>
            <w:tcBorders>
              <w:left w:val="single" w:sz="4" w:space="0" w:color="auto"/>
            </w:tcBorders>
            <w:shd w:val="clear" w:color="auto" w:fill="auto"/>
            <w:vAlign w:val="bottom"/>
          </w:tcPr>
          <w:p w:rsidR="00B45DFA" w:rsidRPr="005F14F1" w:rsidRDefault="00B45DFA" w:rsidP="00C82C2F">
            <w:pPr>
              <w:jc w:val="center"/>
              <w:rPr>
                <w:rFonts w:ascii="Tahoma" w:hAnsi="Tahoma" w:cs="Tahoma"/>
                <w:szCs w:val="22"/>
              </w:rPr>
            </w:pPr>
            <w:r w:rsidRPr="005F14F1">
              <w:rPr>
                <w:rFonts w:ascii="Tahoma" w:hAnsi="Tahoma" w:cs="Tahoma"/>
                <w:sz w:val="22"/>
                <w:szCs w:val="22"/>
              </w:rPr>
              <w:t>10</w:t>
            </w:r>
          </w:p>
        </w:tc>
        <w:tc>
          <w:tcPr>
            <w:tcW w:w="3093" w:type="dxa"/>
            <w:shd w:val="clear" w:color="auto" w:fill="auto"/>
            <w:vAlign w:val="bottom"/>
          </w:tcPr>
          <w:p w:rsidR="00B45DFA" w:rsidRPr="007C3D93" w:rsidRDefault="00B45DFA" w:rsidP="00C82C2F">
            <w:pPr>
              <w:jc w:val="right"/>
              <w:rPr>
                <w:rFonts w:ascii="Tahoma" w:hAnsi="Tahoma" w:cs="Tahoma"/>
                <w:color w:val="000000"/>
                <w:sz w:val="22"/>
                <w:szCs w:val="22"/>
              </w:rPr>
            </w:pPr>
            <w:r w:rsidRPr="007C3D93">
              <w:rPr>
                <w:rFonts w:ascii="Tahoma" w:hAnsi="Tahoma" w:cs="Tahoma"/>
                <w:color w:val="000000"/>
                <w:sz w:val="22"/>
                <w:szCs w:val="22"/>
              </w:rPr>
              <w:t>620 000</w:t>
            </w:r>
          </w:p>
        </w:tc>
      </w:tr>
      <w:tr w:rsidR="00B45DFA" w:rsidRPr="005F14F1" w:rsidTr="00C82C2F">
        <w:trPr>
          <w:trHeight w:val="251"/>
        </w:trPr>
        <w:tc>
          <w:tcPr>
            <w:tcW w:w="879" w:type="dxa"/>
            <w:shd w:val="clear" w:color="auto" w:fill="auto"/>
            <w:vAlign w:val="bottom"/>
          </w:tcPr>
          <w:p w:rsidR="00B45DFA" w:rsidRPr="005F14F1" w:rsidRDefault="00B45DFA" w:rsidP="00C82C2F">
            <w:pPr>
              <w:jc w:val="center"/>
              <w:rPr>
                <w:rFonts w:ascii="Tahoma" w:hAnsi="Tahoma" w:cs="Tahoma"/>
                <w:szCs w:val="22"/>
              </w:rPr>
            </w:pPr>
            <w:r w:rsidRPr="005F14F1">
              <w:rPr>
                <w:rFonts w:ascii="Tahoma" w:hAnsi="Tahoma" w:cs="Tahoma"/>
                <w:sz w:val="22"/>
                <w:szCs w:val="22"/>
              </w:rPr>
              <w:t>4</w:t>
            </w:r>
          </w:p>
        </w:tc>
        <w:tc>
          <w:tcPr>
            <w:tcW w:w="2940" w:type="dxa"/>
            <w:tcBorders>
              <w:right w:val="single" w:sz="4" w:space="0" w:color="auto"/>
            </w:tcBorders>
            <w:shd w:val="clear" w:color="auto" w:fill="auto"/>
            <w:vAlign w:val="bottom"/>
          </w:tcPr>
          <w:p w:rsidR="00B45DFA" w:rsidRPr="007C3D93" w:rsidRDefault="00B45DFA" w:rsidP="00C82C2F">
            <w:pPr>
              <w:jc w:val="right"/>
              <w:rPr>
                <w:rFonts w:ascii="Tahoma" w:hAnsi="Tahoma" w:cs="Tahoma"/>
                <w:color w:val="000000"/>
                <w:sz w:val="22"/>
                <w:szCs w:val="22"/>
              </w:rPr>
            </w:pPr>
            <w:r w:rsidRPr="007C3D93">
              <w:rPr>
                <w:rFonts w:ascii="Tahoma" w:hAnsi="Tahoma" w:cs="Tahoma"/>
                <w:color w:val="000000"/>
                <w:sz w:val="22"/>
                <w:szCs w:val="22"/>
              </w:rPr>
              <w:t>137 800</w:t>
            </w:r>
          </w:p>
        </w:tc>
        <w:tc>
          <w:tcPr>
            <w:tcW w:w="604" w:type="dxa"/>
            <w:tcBorders>
              <w:top w:val="nil"/>
              <w:left w:val="single" w:sz="4" w:space="0" w:color="auto"/>
              <w:bottom w:val="nil"/>
              <w:right w:val="single" w:sz="4" w:space="0" w:color="auto"/>
            </w:tcBorders>
            <w:shd w:val="clear" w:color="auto" w:fill="auto"/>
          </w:tcPr>
          <w:p w:rsidR="00B45DFA" w:rsidRPr="005F14F1" w:rsidRDefault="00B45DFA" w:rsidP="00C82C2F">
            <w:pPr>
              <w:jc w:val="right"/>
              <w:rPr>
                <w:rFonts w:ascii="Tahoma" w:hAnsi="Tahoma" w:cs="Tahoma"/>
                <w:sz w:val="22"/>
                <w:szCs w:val="22"/>
              </w:rPr>
            </w:pPr>
          </w:p>
        </w:tc>
        <w:tc>
          <w:tcPr>
            <w:tcW w:w="969" w:type="dxa"/>
            <w:tcBorders>
              <w:left w:val="single" w:sz="4" w:space="0" w:color="auto"/>
            </w:tcBorders>
            <w:shd w:val="clear" w:color="auto" w:fill="auto"/>
            <w:vAlign w:val="bottom"/>
          </w:tcPr>
          <w:p w:rsidR="00B45DFA" w:rsidRPr="005F14F1" w:rsidRDefault="00B45DFA" w:rsidP="00C82C2F">
            <w:pPr>
              <w:jc w:val="center"/>
              <w:rPr>
                <w:rFonts w:ascii="Tahoma" w:hAnsi="Tahoma" w:cs="Tahoma"/>
                <w:szCs w:val="22"/>
              </w:rPr>
            </w:pPr>
            <w:r w:rsidRPr="005F14F1">
              <w:rPr>
                <w:rFonts w:ascii="Tahoma" w:hAnsi="Tahoma" w:cs="Tahoma"/>
                <w:sz w:val="22"/>
                <w:szCs w:val="22"/>
              </w:rPr>
              <w:t>11</w:t>
            </w:r>
          </w:p>
        </w:tc>
        <w:tc>
          <w:tcPr>
            <w:tcW w:w="3093" w:type="dxa"/>
            <w:shd w:val="clear" w:color="auto" w:fill="auto"/>
            <w:vAlign w:val="bottom"/>
          </w:tcPr>
          <w:p w:rsidR="00B45DFA" w:rsidRPr="007C3D93" w:rsidRDefault="00B45DFA" w:rsidP="00C82C2F">
            <w:pPr>
              <w:jc w:val="right"/>
              <w:rPr>
                <w:rFonts w:ascii="Tahoma" w:hAnsi="Tahoma" w:cs="Tahoma"/>
                <w:color w:val="000000"/>
                <w:sz w:val="22"/>
                <w:szCs w:val="22"/>
              </w:rPr>
            </w:pPr>
            <w:r w:rsidRPr="007C3D93">
              <w:rPr>
                <w:rFonts w:ascii="Tahoma" w:hAnsi="Tahoma" w:cs="Tahoma"/>
                <w:color w:val="000000"/>
                <w:sz w:val="22"/>
                <w:szCs w:val="22"/>
              </w:rPr>
              <w:t>153 270</w:t>
            </w:r>
          </w:p>
        </w:tc>
      </w:tr>
      <w:tr w:rsidR="00B45DFA" w:rsidRPr="005F14F1" w:rsidTr="00C82C2F">
        <w:trPr>
          <w:trHeight w:val="251"/>
        </w:trPr>
        <w:tc>
          <w:tcPr>
            <w:tcW w:w="879" w:type="dxa"/>
            <w:shd w:val="clear" w:color="auto" w:fill="auto"/>
            <w:vAlign w:val="bottom"/>
          </w:tcPr>
          <w:p w:rsidR="00B45DFA" w:rsidRPr="005F14F1" w:rsidRDefault="00B45DFA" w:rsidP="00C82C2F">
            <w:pPr>
              <w:jc w:val="center"/>
              <w:rPr>
                <w:rFonts w:ascii="Tahoma" w:hAnsi="Tahoma" w:cs="Tahoma"/>
                <w:szCs w:val="22"/>
              </w:rPr>
            </w:pPr>
            <w:r w:rsidRPr="005F14F1">
              <w:rPr>
                <w:rFonts w:ascii="Tahoma" w:hAnsi="Tahoma" w:cs="Tahoma"/>
                <w:sz w:val="22"/>
                <w:szCs w:val="22"/>
              </w:rPr>
              <w:t>5</w:t>
            </w:r>
          </w:p>
        </w:tc>
        <w:tc>
          <w:tcPr>
            <w:tcW w:w="2940" w:type="dxa"/>
            <w:tcBorders>
              <w:right w:val="single" w:sz="4" w:space="0" w:color="auto"/>
            </w:tcBorders>
            <w:shd w:val="clear" w:color="auto" w:fill="auto"/>
            <w:vAlign w:val="bottom"/>
          </w:tcPr>
          <w:p w:rsidR="00B45DFA" w:rsidRPr="007C3D93" w:rsidRDefault="00B45DFA" w:rsidP="00C82C2F">
            <w:pPr>
              <w:jc w:val="right"/>
              <w:rPr>
                <w:rFonts w:ascii="Tahoma" w:hAnsi="Tahoma" w:cs="Tahoma"/>
                <w:color w:val="000000"/>
                <w:sz w:val="22"/>
                <w:szCs w:val="22"/>
              </w:rPr>
            </w:pPr>
            <w:r w:rsidRPr="007C3D93">
              <w:rPr>
                <w:rFonts w:ascii="Tahoma" w:hAnsi="Tahoma" w:cs="Tahoma"/>
                <w:color w:val="000000"/>
                <w:sz w:val="22"/>
                <w:szCs w:val="22"/>
              </w:rPr>
              <w:t>50 000</w:t>
            </w:r>
          </w:p>
        </w:tc>
        <w:tc>
          <w:tcPr>
            <w:tcW w:w="604" w:type="dxa"/>
            <w:tcBorders>
              <w:top w:val="nil"/>
              <w:left w:val="single" w:sz="4" w:space="0" w:color="auto"/>
              <w:bottom w:val="nil"/>
              <w:right w:val="single" w:sz="4" w:space="0" w:color="auto"/>
            </w:tcBorders>
            <w:shd w:val="clear" w:color="auto" w:fill="auto"/>
          </w:tcPr>
          <w:p w:rsidR="00B45DFA" w:rsidRPr="005F14F1" w:rsidRDefault="00B45DFA" w:rsidP="00C82C2F">
            <w:pPr>
              <w:jc w:val="right"/>
              <w:rPr>
                <w:rFonts w:ascii="Tahoma" w:hAnsi="Tahoma" w:cs="Tahoma"/>
                <w:sz w:val="22"/>
                <w:szCs w:val="22"/>
              </w:rPr>
            </w:pPr>
          </w:p>
        </w:tc>
        <w:tc>
          <w:tcPr>
            <w:tcW w:w="969" w:type="dxa"/>
            <w:tcBorders>
              <w:left w:val="single" w:sz="4" w:space="0" w:color="auto"/>
            </w:tcBorders>
            <w:shd w:val="clear" w:color="auto" w:fill="auto"/>
            <w:vAlign w:val="bottom"/>
          </w:tcPr>
          <w:p w:rsidR="00B45DFA" w:rsidRPr="005F14F1" w:rsidRDefault="00B45DFA" w:rsidP="00C82C2F">
            <w:pPr>
              <w:jc w:val="center"/>
              <w:rPr>
                <w:rFonts w:ascii="Tahoma" w:hAnsi="Tahoma" w:cs="Tahoma"/>
                <w:szCs w:val="22"/>
              </w:rPr>
            </w:pPr>
            <w:r w:rsidRPr="005F14F1">
              <w:rPr>
                <w:rFonts w:ascii="Tahoma" w:hAnsi="Tahoma" w:cs="Tahoma"/>
                <w:sz w:val="22"/>
                <w:szCs w:val="22"/>
              </w:rPr>
              <w:t>12</w:t>
            </w:r>
          </w:p>
        </w:tc>
        <w:tc>
          <w:tcPr>
            <w:tcW w:w="3093" w:type="dxa"/>
            <w:shd w:val="clear" w:color="auto" w:fill="auto"/>
            <w:vAlign w:val="bottom"/>
          </w:tcPr>
          <w:p w:rsidR="00B45DFA" w:rsidRPr="007C3D93" w:rsidRDefault="00B45DFA" w:rsidP="00C82C2F">
            <w:pPr>
              <w:jc w:val="right"/>
              <w:rPr>
                <w:rFonts w:ascii="Tahoma" w:hAnsi="Tahoma" w:cs="Tahoma"/>
                <w:color w:val="000000"/>
                <w:sz w:val="22"/>
                <w:szCs w:val="22"/>
              </w:rPr>
            </w:pPr>
            <w:r w:rsidRPr="007C3D93">
              <w:rPr>
                <w:rFonts w:ascii="Tahoma" w:hAnsi="Tahoma" w:cs="Tahoma"/>
                <w:color w:val="000000"/>
                <w:sz w:val="22"/>
                <w:szCs w:val="22"/>
              </w:rPr>
              <w:t>1 001 700</w:t>
            </w:r>
          </w:p>
        </w:tc>
      </w:tr>
      <w:tr w:rsidR="00B45DFA" w:rsidRPr="005F14F1" w:rsidTr="00C82C2F">
        <w:trPr>
          <w:trHeight w:val="266"/>
        </w:trPr>
        <w:tc>
          <w:tcPr>
            <w:tcW w:w="879" w:type="dxa"/>
            <w:shd w:val="clear" w:color="auto" w:fill="auto"/>
            <w:vAlign w:val="bottom"/>
          </w:tcPr>
          <w:p w:rsidR="00B45DFA" w:rsidRPr="005F14F1" w:rsidRDefault="00B45DFA" w:rsidP="00C82C2F">
            <w:pPr>
              <w:jc w:val="center"/>
              <w:rPr>
                <w:rFonts w:ascii="Tahoma" w:hAnsi="Tahoma" w:cs="Tahoma"/>
                <w:szCs w:val="22"/>
              </w:rPr>
            </w:pPr>
            <w:r w:rsidRPr="005F14F1">
              <w:rPr>
                <w:rFonts w:ascii="Tahoma" w:hAnsi="Tahoma" w:cs="Tahoma"/>
                <w:sz w:val="22"/>
                <w:szCs w:val="22"/>
              </w:rPr>
              <w:t>6</w:t>
            </w:r>
          </w:p>
        </w:tc>
        <w:tc>
          <w:tcPr>
            <w:tcW w:w="2940" w:type="dxa"/>
            <w:tcBorders>
              <w:right w:val="single" w:sz="4" w:space="0" w:color="auto"/>
            </w:tcBorders>
            <w:shd w:val="clear" w:color="auto" w:fill="auto"/>
            <w:vAlign w:val="bottom"/>
          </w:tcPr>
          <w:p w:rsidR="00B45DFA" w:rsidRPr="007C3D93" w:rsidRDefault="00B45DFA" w:rsidP="00C82C2F">
            <w:pPr>
              <w:jc w:val="right"/>
              <w:rPr>
                <w:rFonts w:ascii="Tahoma" w:hAnsi="Tahoma" w:cs="Tahoma"/>
                <w:color w:val="000000"/>
                <w:sz w:val="22"/>
                <w:szCs w:val="22"/>
              </w:rPr>
            </w:pPr>
            <w:r w:rsidRPr="007C3D93">
              <w:rPr>
                <w:rFonts w:ascii="Tahoma" w:hAnsi="Tahoma" w:cs="Tahoma"/>
                <w:color w:val="000000"/>
                <w:sz w:val="22"/>
                <w:szCs w:val="22"/>
              </w:rPr>
              <w:t>200 000</w:t>
            </w:r>
          </w:p>
        </w:tc>
        <w:tc>
          <w:tcPr>
            <w:tcW w:w="604" w:type="dxa"/>
            <w:tcBorders>
              <w:top w:val="nil"/>
              <w:left w:val="single" w:sz="4" w:space="0" w:color="auto"/>
              <w:bottom w:val="nil"/>
              <w:right w:val="single" w:sz="4" w:space="0" w:color="auto"/>
            </w:tcBorders>
            <w:shd w:val="clear" w:color="auto" w:fill="auto"/>
          </w:tcPr>
          <w:p w:rsidR="00B45DFA" w:rsidRPr="005F14F1" w:rsidRDefault="00B45DFA" w:rsidP="00C82C2F">
            <w:pPr>
              <w:jc w:val="right"/>
              <w:rPr>
                <w:rFonts w:ascii="Tahoma" w:hAnsi="Tahoma" w:cs="Tahoma"/>
                <w:sz w:val="22"/>
                <w:szCs w:val="22"/>
              </w:rPr>
            </w:pPr>
          </w:p>
        </w:tc>
        <w:tc>
          <w:tcPr>
            <w:tcW w:w="969" w:type="dxa"/>
            <w:tcBorders>
              <w:left w:val="single" w:sz="4" w:space="0" w:color="auto"/>
            </w:tcBorders>
            <w:shd w:val="clear" w:color="auto" w:fill="auto"/>
            <w:vAlign w:val="bottom"/>
          </w:tcPr>
          <w:p w:rsidR="00B45DFA" w:rsidRPr="005F14F1" w:rsidRDefault="00B45DFA" w:rsidP="00C82C2F">
            <w:pPr>
              <w:jc w:val="center"/>
              <w:rPr>
                <w:rFonts w:ascii="Tahoma" w:hAnsi="Tahoma" w:cs="Tahoma"/>
                <w:szCs w:val="22"/>
              </w:rPr>
            </w:pPr>
            <w:r w:rsidRPr="005F14F1">
              <w:rPr>
                <w:rFonts w:ascii="Tahoma" w:hAnsi="Tahoma" w:cs="Tahoma"/>
                <w:sz w:val="22"/>
                <w:szCs w:val="22"/>
              </w:rPr>
              <w:t>13</w:t>
            </w:r>
          </w:p>
        </w:tc>
        <w:tc>
          <w:tcPr>
            <w:tcW w:w="3093" w:type="dxa"/>
            <w:shd w:val="clear" w:color="auto" w:fill="auto"/>
            <w:vAlign w:val="bottom"/>
          </w:tcPr>
          <w:p w:rsidR="00B45DFA" w:rsidRPr="007C3D93" w:rsidRDefault="00B45DFA" w:rsidP="00C82C2F">
            <w:pPr>
              <w:jc w:val="right"/>
              <w:rPr>
                <w:rFonts w:ascii="Tahoma" w:hAnsi="Tahoma" w:cs="Tahoma"/>
                <w:color w:val="000000"/>
                <w:sz w:val="22"/>
                <w:szCs w:val="22"/>
              </w:rPr>
            </w:pPr>
            <w:r w:rsidRPr="007C3D93">
              <w:rPr>
                <w:rFonts w:ascii="Tahoma" w:hAnsi="Tahoma" w:cs="Tahoma"/>
                <w:color w:val="000000"/>
                <w:sz w:val="22"/>
                <w:szCs w:val="22"/>
              </w:rPr>
              <w:t>24 704</w:t>
            </w:r>
          </w:p>
        </w:tc>
      </w:tr>
      <w:tr w:rsidR="00B45DFA" w:rsidRPr="005F14F1" w:rsidTr="00C82C2F">
        <w:trPr>
          <w:trHeight w:val="251"/>
        </w:trPr>
        <w:tc>
          <w:tcPr>
            <w:tcW w:w="879" w:type="dxa"/>
            <w:shd w:val="clear" w:color="auto" w:fill="auto"/>
            <w:vAlign w:val="bottom"/>
          </w:tcPr>
          <w:p w:rsidR="00B45DFA" w:rsidRPr="005F14F1" w:rsidRDefault="00B45DFA" w:rsidP="00C82C2F">
            <w:pPr>
              <w:jc w:val="center"/>
              <w:rPr>
                <w:rFonts w:ascii="Tahoma" w:hAnsi="Tahoma" w:cs="Tahoma"/>
                <w:szCs w:val="22"/>
              </w:rPr>
            </w:pPr>
            <w:r w:rsidRPr="005F14F1">
              <w:rPr>
                <w:rFonts w:ascii="Tahoma" w:hAnsi="Tahoma" w:cs="Tahoma"/>
                <w:sz w:val="22"/>
                <w:szCs w:val="22"/>
              </w:rPr>
              <w:t>7</w:t>
            </w:r>
          </w:p>
        </w:tc>
        <w:tc>
          <w:tcPr>
            <w:tcW w:w="2940" w:type="dxa"/>
            <w:tcBorders>
              <w:right w:val="single" w:sz="4" w:space="0" w:color="auto"/>
            </w:tcBorders>
            <w:shd w:val="clear" w:color="auto" w:fill="auto"/>
            <w:vAlign w:val="bottom"/>
          </w:tcPr>
          <w:p w:rsidR="00B45DFA" w:rsidRPr="007C3D93" w:rsidRDefault="00B45DFA" w:rsidP="00C82C2F">
            <w:pPr>
              <w:jc w:val="right"/>
              <w:rPr>
                <w:rFonts w:ascii="Tahoma" w:hAnsi="Tahoma" w:cs="Tahoma"/>
                <w:color w:val="000000"/>
                <w:sz w:val="22"/>
                <w:szCs w:val="22"/>
              </w:rPr>
            </w:pPr>
            <w:r>
              <w:rPr>
                <w:rFonts w:ascii="Tahoma" w:hAnsi="Tahoma" w:cs="Tahoma"/>
                <w:color w:val="000000"/>
                <w:sz w:val="22"/>
                <w:szCs w:val="22"/>
              </w:rPr>
              <w:t>10 080</w:t>
            </w:r>
          </w:p>
        </w:tc>
        <w:tc>
          <w:tcPr>
            <w:tcW w:w="604" w:type="dxa"/>
            <w:tcBorders>
              <w:top w:val="nil"/>
              <w:left w:val="single" w:sz="4" w:space="0" w:color="auto"/>
              <w:bottom w:val="nil"/>
              <w:right w:val="single" w:sz="4" w:space="0" w:color="auto"/>
            </w:tcBorders>
            <w:shd w:val="clear" w:color="auto" w:fill="auto"/>
          </w:tcPr>
          <w:p w:rsidR="00B45DFA" w:rsidRPr="005F14F1" w:rsidRDefault="00B45DFA" w:rsidP="00C82C2F">
            <w:pPr>
              <w:jc w:val="right"/>
              <w:rPr>
                <w:rFonts w:ascii="Tahoma" w:hAnsi="Tahoma" w:cs="Tahoma"/>
                <w:sz w:val="22"/>
                <w:szCs w:val="22"/>
              </w:rPr>
            </w:pPr>
          </w:p>
        </w:tc>
        <w:tc>
          <w:tcPr>
            <w:tcW w:w="969" w:type="dxa"/>
            <w:tcBorders>
              <w:left w:val="single" w:sz="4" w:space="0" w:color="auto"/>
            </w:tcBorders>
            <w:shd w:val="clear" w:color="auto" w:fill="auto"/>
            <w:vAlign w:val="bottom"/>
          </w:tcPr>
          <w:p w:rsidR="00B45DFA" w:rsidRPr="005F14F1" w:rsidRDefault="00B45DFA" w:rsidP="00C82C2F">
            <w:pPr>
              <w:jc w:val="center"/>
              <w:rPr>
                <w:rFonts w:ascii="Tahoma" w:hAnsi="Tahoma" w:cs="Tahoma"/>
                <w:szCs w:val="22"/>
              </w:rPr>
            </w:pPr>
            <w:r w:rsidRPr="005F14F1">
              <w:rPr>
                <w:rFonts w:ascii="Tahoma" w:hAnsi="Tahoma" w:cs="Tahoma"/>
                <w:szCs w:val="22"/>
              </w:rPr>
              <w:t>14</w:t>
            </w:r>
          </w:p>
        </w:tc>
        <w:tc>
          <w:tcPr>
            <w:tcW w:w="3093" w:type="dxa"/>
            <w:shd w:val="clear" w:color="auto" w:fill="auto"/>
            <w:vAlign w:val="bottom"/>
          </w:tcPr>
          <w:p w:rsidR="00B45DFA" w:rsidRPr="007C3D93" w:rsidRDefault="00B45DFA" w:rsidP="00C82C2F">
            <w:pPr>
              <w:jc w:val="right"/>
              <w:rPr>
                <w:rFonts w:ascii="Tahoma" w:hAnsi="Tahoma" w:cs="Tahoma"/>
                <w:color w:val="000000"/>
                <w:sz w:val="22"/>
                <w:szCs w:val="22"/>
              </w:rPr>
            </w:pPr>
            <w:r w:rsidRPr="007C3D93">
              <w:rPr>
                <w:rFonts w:ascii="Tahoma" w:hAnsi="Tahoma" w:cs="Tahoma"/>
                <w:color w:val="000000"/>
                <w:sz w:val="22"/>
                <w:szCs w:val="22"/>
              </w:rPr>
              <w:t>426 400</w:t>
            </w:r>
          </w:p>
        </w:tc>
      </w:tr>
      <w:tr w:rsidR="00B45DFA" w:rsidRPr="005F14F1" w:rsidTr="00C82C2F">
        <w:trPr>
          <w:trHeight w:val="266"/>
        </w:trPr>
        <w:tc>
          <w:tcPr>
            <w:tcW w:w="879" w:type="dxa"/>
            <w:shd w:val="clear" w:color="auto" w:fill="auto"/>
            <w:vAlign w:val="bottom"/>
          </w:tcPr>
          <w:p w:rsidR="00B45DFA" w:rsidRPr="00B75A85" w:rsidRDefault="00B45DFA" w:rsidP="00C82C2F">
            <w:pPr>
              <w:jc w:val="center"/>
              <w:rPr>
                <w:rFonts w:ascii="Tahoma" w:hAnsi="Tahoma" w:cs="Tahoma"/>
                <w:sz w:val="22"/>
                <w:szCs w:val="22"/>
              </w:rPr>
            </w:pPr>
            <w:r w:rsidRPr="00B75A85">
              <w:rPr>
                <w:rFonts w:ascii="Tahoma" w:hAnsi="Tahoma" w:cs="Tahoma"/>
                <w:sz w:val="22"/>
                <w:szCs w:val="22"/>
              </w:rPr>
              <w:t>15</w:t>
            </w:r>
          </w:p>
        </w:tc>
        <w:tc>
          <w:tcPr>
            <w:tcW w:w="2940" w:type="dxa"/>
            <w:tcBorders>
              <w:right w:val="single" w:sz="4" w:space="0" w:color="auto"/>
            </w:tcBorders>
            <w:shd w:val="clear" w:color="auto" w:fill="auto"/>
            <w:vAlign w:val="bottom"/>
          </w:tcPr>
          <w:p w:rsidR="00B45DFA" w:rsidRPr="00B75A85" w:rsidRDefault="00B45DFA" w:rsidP="00C82C2F">
            <w:pPr>
              <w:jc w:val="right"/>
              <w:rPr>
                <w:rFonts w:ascii="Tahoma" w:hAnsi="Tahoma" w:cs="Tahoma"/>
                <w:sz w:val="22"/>
                <w:szCs w:val="22"/>
              </w:rPr>
            </w:pPr>
            <w:r w:rsidRPr="00B75A85">
              <w:rPr>
                <w:rFonts w:ascii="Tahoma" w:hAnsi="Tahoma" w:cs="Tahoma"/>
                <w:sz w:val="22"/>
                <w:szCs w:val="22"/>
              </w:rPr>
              <w:t>88050</w:t>
            </w:r>
          </w:p>
        </w:tc>
        <w:tc>
          <w:tcPr>
            <w:tcW w:w="604" w:type="dxa"/>
            <w:tcBorders>
              <w:top w:val="nil"/>
              <w:left w:val="single" w:sz="4" w:space="0" w:color="auto"/>
              <w:bottom w:val="nil"/>
              <w:right w:val="single" w:sz="4" w:space="0" w:color="auto"/>
            </w:tcBorders>
            <w:shd w:val="clear" w:color="auto" w:fill="auto"/>
          </w:tcPr>
          <w:p w:rsidR="00B45DFA" w:rsidRPr="005F14F1" w:rsidRDefault="00B45DFA" w:rsidP="00C82C2F">
            <w:pPr>
              <w:jc w:val="right"/>
              <w:rPr>
                <w:rFonts w:ascii="Tahoma" w:hAnsi="Tahoma" w:cs="Tahoma"/>
                <w:sz w:val="22"/>
                <w:szCs w:val="22"/>
              </w:rPr>
            </w:pPr>
          </w:p>
        </w:tc>
        <w:tc>
          <w:tcPr>
            <w:tcW w:w="969" w:type="dxa"/>
            <w:tcBorders>
              <w:left w:val="single" w:sz="4" w:space="0" w:color="auto"/>
              <w:bottom w:val="single" w:sz="4" w:space="0" w:color="auto"/>
            </w:tcBorders>
            <w:shd w:val="clear" w:color="auto" w:fill="auto"/>
            <w:vAlign w:val="bottom"/>
          </w:tcPr>
          <w:p w:rsidR="00B45DFA" w:rsidRPr="00751C1D" w:rsidRDefault="00B45DFA" w:rsidP="00C82C2F">
            <w:pPr>
              <w:jc w:val="center"/>
              <w:rPr>
                <w:rFonts w:ascii="Tahoma" w:hAnsi="Tahoma" w:cs="Tahoma"/>
                <w:sz w:val="22"/>
                <w:szCs w:val="22"/>
              </w:rPr>
            </w:pPr>
            <w:r w:rsidRPr="00751C1D">
              <w:rPr>
                <w:rFonts w:ascii="Tahoma" w:hAnsi="Tahoma" w:cs="Tahoma"/>
                <w:sz w:val="22"/>
                <w:szCs w:val="22"/>
              </w:rPr>
              <w:t>22</w:t>
            </w:r>
          </w:p>
        </w:tc>
        <w:tc>
          <w:tcPr>
            <w:tcW w:w="3093" w:type="dxa"/>
            <w:shd w:val="clear" w:color="auto" w:fill="auto"/>
            <w:vAlign w:val="bottom"/>
          </w:tcPr>
          <w:p w:rsidR="00B45DFA" w:rsidRPr="007C3D93" w:rsidRDefault="00B45DFA" w:rsidP="00C82C2F">
            <w:pPr>
              <w:jc w:val="right"/>
              <w:rPr>
                <w:rFonts w:ascii="Tahoma" w:hAnsi="Tahoma" w:cs="Tahoma"/>
                <w:color w:val="000000"/>
                <w:sz w:val="22"/>
                <w:szCs w:val="22"/>
              </w:rPr>
            </w:pPr>
            <w:r w:rsidRPr="007C3D93">
              <w:rPr>
                <w:rFonts w:ascii="Tahoma" w:hAnsi="Tahoma" w:cs="Tahoma"/>
                <w:color w:val="000000"/>
                <w:sz w:val="22"/>
                <w:szCs w:val="22"/>
              </w:rPr>
              <w:t>66 400</w:t>
            </w:r>
          </w:p>
        </w:tc>
      </w:tr>
      <w:tr w:rsidR="00B45DFA" w:rsidRPr="005F14F1" w:rsidTr="00C82C2F">
        <w:trPr>
          <w:trHeight w:val="251"/>
        </w:trPr>
        <w:tc>
          <w:tcPr>
            <w:tcW w:w="879" w:type="dxa"/>
            <w:shd w:val="clear" w:color="auto" w:fill="auto"/>
            <w:vAlign w:val="bottom"/>
          </w:tcPr>
          <w:p w:rsidR="00B45DFA" w:rsidRPr="00B75A85" w:rsidRDefault="00B45DFA" w:rsidP="00C82C2F">
            <w:pPr>
              <w:jc w:val="center"/>
              <w:rPr>
                <w:rFonts w:ascii="Tahoma" w:hAnsi="Tahoma" w:cs="Tahoma"/>
                <w:sz w:val="22"/>
                <w:szCs w:val="22"/>
              </w:rPr>
            </w:pPr>
            <w:r w:rsidRPr="00B75A85">
              <w:rPr>
                <w:rFonts w:ascii="Tahoma" w:hAnsi="Tahoma" w:cs="Tahoma"/>
                <w:sz w:val="22"/>
                <w:szCs w:val="22"/>
              </w:rPr>
              <w:t>16</w:t>
            </w:r>
          </w:p>
        </w:tc>
        <w:tc>
          <w:tcPr>
            <w:tcW w:w="2940" w:type="dxa"/>
            <w:tcBorders>
              <w:right w:val="single" w:sz="4" w:space="0" w:color="auto"/>
            </w:tcBorders>
            <w:shd w:val="clear" w:color="auto" w:fill="auto"/>
            <w:vAlign w:val="bottom"/>
          </w:tcPr>
          <w:p w:rsidR="00B45DFA" w:rsidRPr="00B75A85" w:rsidRDefault="00B45DFA" w:rsidP="00C82C2F">
            <w:pPr>
              <w:jc w:val="right"/>
              <w:rPr>
                <w:rFonts w:ascii="Tahoma" w:hAnsi="Tahoma" w:cs="Tahoma"/>
                <w:sz w:val="22"/>
                <w:szCs w:val="22"/>
              </w:rPr>
            </w:pPr>
            <w:r w:rsidRPr="00B75A85">
              <w:rPr>
                <w:rFonts w:ascii="Tahoma" w:hAnsi="Tahoma" w:cs="Tahoma"/>
                <w:sz w:val="22"/>
                <w:szCs w:val="22"/>
              </w:rPr>
              <w:t>20790</w:t>
            </w:r>
          </w:p>
        </w:tc>
        <w:tc>
          <w:tcPr>
            <w:tcW w:w="604" w:type="dxa"/>
            <w:tcBorders>
              <w:top w:val="nil"/>
              <w:left w:val="single" w:sz="4" w:space="0" w:color="auto"/>
              <w:bottom w:val="nil"/>
              <w:right w:val="single" w:sz="4" w:space="0" w:color="auto"/>
            </w:tcBorders>
            <w:shd w:val="clear" w:color="auto" w:fill="auto"/>
          </w:tcPr>
          <w:p w:rsidR="00B45DFA" w:rsidRPr="005F14F1" w:rsidRDefault="00B45DFA" w:rsidP="00C82C2F">
            <w:pPr>
              <w:jc w:val="right"/>
              <w:rPr>
                <w:rFonts w:ascii="Tahoma" w:hAnsi="Tahoma" w:cs="Tahoma"/>
                <w:sz w:val="22"/>
                <w:szCs w:val="22"/>
              </w:rPr>
            </w:pPr>
          </w:p>
        </w:tc>
        <w:tc>
          <w:tcPr>
            <w:tcW w:w="969" w:type="dxa"/>
            <w:tcBorders>
              <w:left w:val="single" w:sz="4" w:space="0" w:color="auto"/>
            </w:tcBorders>
            <w:shd w:val="clear" w:color="auto" w:fill="auto"/>
            <w:vAlign w:val="bottom"/>
          </w:tcPr>
          <w:p w:rsidR="00B45DFA" w:rsidRPr="00E11DB5" w:rsidRDefault="00B45DFA" w:rsidP="00C82C2F">
            <w:pPr>
              <w:jc w:val="center"/>
              <w:rPr>
                <w:rFonts w:ascii="Tahoma" w:hAnsi="Tahoma" w:cs="Tahoma"/>
                <w:sz w:val="22"/>
                <w:szCs w:val="22"/>
              </w:rPr>
            </w:pPr>
            <w:r w:rsidRPr="00E11DB5">
              <w:rPr>
                <w:rFonts w:ascii="Tahoma" w:hAnsi="Tahoma" w:cs="Tahoma"/>
                <w:sz w:val="22"/>
                <w:szCs w:val="22"/>
              </w:rPr>
              <w:t>23</w:t>
            </w:r>
          </w:p>
        </w:tc>
        <w:tc>
          <w:tcPr>
            <w:tcW w:w="3093" w:type="dxa"/>
            <w:shd w:val="clear" w:color="auto" w:fill="auto"/>
            <w:vAlign w:val="bottom"/>
          </w:tcPr>
          <w:p w:rsidR="00B45DFA" w:rsidRPr="007C3D93" w:rsidRDefault="00B45DFA" w:rsidP="00C82C2F">
            <w:pPr>
              <w:jc w:val="right"/>
              <w:rPr>
                <w:rFonts w:ascii="Tahoma" w:hAnsi="Tahoma" w:cs="Tahoma"/>
                <w:color w:val="000000"/>
                <w:sz w:val="22"/>
                <w:szCs w:val="22"/>
              </w:rPr>
            </w:pPr>
            <w:r w:rsidRPr="007C3D93">
              <w:rPr>
                <w:rFonts w:ascii="Tahoma" w:hAnsi="Tahoma" w:cs="Tahoma"/>
                <w:color w:val="000000"/>
                <w:sz w:val="22"/>
                <w:szCs w:val="22"/>
              </w:rPr>
              <w:t>85</w:t>
            </w:r>
            <w:r>
              <w:rPr>
                <w:rFonts w:ascii="Tahoma" w:hAnsi="Tahoma" w:cs="Tahoma"/>
                <w:color w:val="000000"/>
                <w:sz w:val="22"/>
                <w:szCs w:val="22"/>
              </w:rPr>
              <w:t> </w:t>
            </w:r>
            <w:r w:rsidRPr="007C3D93">
              <w:rPr>
                <w:rFonts w:ascii="Tahoma" w:hAnsi="Tahoma" w:cs="Tahoma"/>
                <w:color w:val="000000"/>
                <w:sz w:val="22"/>
                <w:szCs w:val="22"/>
              </w:rPr>
              <w:t>400</w:t>
            </w:r>
            <w:r>
              <w:rPr>
                <w:rFonts w:ascii="Tahoma" w:hAnsi="Tahoma" w:cs="Tahoma"/>
                <w:color w:val="000000"/>
                <w:sz w:val="22"/>
                <w:szCs w:val="22"/>
              </w:rPr>
              <w:t xml:space="preserve"> </w:t>
            </w:r>
          </w:p>
        </w:tc>
      </w:tr>
      <w:tr w:rsidR="00B45DFA" w:rsidRPr="005F14F1" w:rsidTr="00C82C2F">
        <w:trPr>
          <w:trHeight w:val="251"/>
        </w:trPr>
        <w:tc>
          <w:tcPr>
            <w:tcW w:w="879" w:type="dxa"/>
            <w:shd w:val="clear" w:color="auto" w:fill="auto"/>
            <w:vAlign w:val="bottom"/>
          </w:tcPr>
          <w:p w:rsidR="00B45DFA" w:rsidRPr="00B75A85" w:rsidRDefault="00B45DFA" w:rsidP="00C82C2F">
            <w:pPr>
              <w:jc w:val="center"/>
              <w:rPr>
                <w:rFonts w:ascii="Tahoma" w:hAnsi="Tahoma" w:cs="Tahoma"/>
                <w:sz w:val="22"/>
                <w:szCs w:val="22"/>
              </w:rPr>
            </w:pPr>
            <w:r w:rsidRPr="00B75A85">
              <w:rPr>
                <w:rFonts w:ascii="Tahoma" w:hAnsi="Tahoma" w:cs="Tahoma"/>
                <w:sz w:val="22"/>
                <w:szCs w:val="22"/>
              </w:rPr>
              <w:t>17</w:t>
            </w:r>
          </w:p>
        </w:tc>
        <w:tc>
          <w:tcPr>
            <w:tcW w:w="2940" w:type="dxa"/>
            <w:tcBorders>
              <w:right w:val="single" w:sz="4" w:space="0" w:color="auto"/>
            </w:tcBorders>
            <w:shd w:val="clear" w:color="auto" w:fill="auto"/>
            <w:vAlign w:val="bottom"/>
          </w:tcPr>
          <w:p w:rsidR="00B45DFA" w:rsidRPr="00B75A85" w:rsidRDefault="00B45DFA" w:rsidP="00C82C2F">
            <w:pPr>
              <w:jc w:val="right"/>
              <w:rPr>
                <w:rFonts w:ascii="Tahoma" w:hAnsi="Tahoma" w:cs="Tahoma"/>
                <w:sz w:val="22"/>
                <w:szCs w:val="22"/>
              </w:rPr>
            </w:pPr>
            <w:r w:rsidRPr="00B75A85">
              <w:rPr>
                <w:rFonts w:ascii="Tahoma" w:hAnsi="Tahoma" w:cs="Tahoma"/>
                <w:sz w:val="22"/>
                <w:szCs w:val="22"/>
              </w:rPr>
              <w:t>1234</w:t>
            </w:r>
          </w:p>
        </w:tc>
        <w:tc>
          <w:tcPr>
            <w:tcW w:w="604" w:type="dxa"/>
            <w:tcBorders>
              <w:top w:val="nil"/>
              <w:left w:val="single" w:sz="4" w:space="0" w:color="auto"/>
              <w:bottom w:val="nil"/>
              <w:right w:val="single" w:sz="4" w:space="0" w:color="auto"/>
            </w:tcBorders>
            <w:shd w:val="clear" w:color="auto" w:fill="auto"/>
          </w:tcPr>
          <w:p w:rsidR="00B45DFA" w:rsidRPr="005F14F1" w:rsidRDefault="00B45DFA" w:rsidP="00C82C2F">
            <w:pPr>
              <w:jc w:val="right"/>
              <w:rPr>
                <w:rFonts w:ascii="Tahoma" w:hAnsi="Tahoma" w:cs="Tahoma"/>
                <w:sz w:val="22"/>
                <w:szCs w:val="22"/>
              </w:rPr>
            </w:pPr>
          </w:p>
        </w:tc>
        <w:tc>
          <w:tcPr>
            <w:tcW w:w="969" w:type="dxa"/>
            <w:tcBorders>
              <w:left w:val="single" w:sz="4" w:space="0" w:color="auto"/>
            </w:tcBorders>
            <w:shd w:val="clear" w:color="auto" w:fill="auto"/>
            <w:vAlign w:val="bottom"/>
          </w:tcPr>
          <w:p w:rsidR="00B45DFA" w:rsidRPr="00E11DB5" w:rsidRDefault="00B45DFA" w:rsidP="00C82C2F">
            <w:pPr>
              <w:jc w:val="center"/>
              <w:rPr>
                <w:rFonts w:ascii="Tahoma" w:hAnsi="Tahoma" w:cs="Tahoma"/>
                <w:sz w:val="22"/>
                <w:szCs w:val="22"/>
              </w:rPr>
            </w:pPr>
            <w:r w:rsidRPr="00E11DB5">
              <w:rPr>
                <w:rFonts w:ascii="Tahoma" w:hAnsi="Tahoma" w:cs="Tahoma"/>
                <w:sz w:val="22"/>
                <w:szCs w:val="22"/>
              </w:rPr>
              <w:t>24</w:t>
            </w:r>
          </w:p>
        </w:tc>
        <w:tc>
          <w:tcPr>
            <w:tcW w:w="3093" w:type="dxa"/>
            <w:shd w:val="clear" w:color="auto" w:fill="auto"/>
            <w:vAlign w:val="bottom"/>
          </w:tcPr>
          <w:p w:rsidR="00B45DFA" w:rsidRPr="007C3D93" w:rsidRDefault="00B45DFA" w:rsidP="00C82C2F">
            <w:pPr>
              <w:jc w:val="right"/>
              <w:rPr>
                <w:rFonts w:ascii="Tahoma" w:hAnsi="Tahoma" w:cs="Tahoma"/>
                <w:color w:val="000000"/>
                <w:sz w:val="22"/>
                <w:szCs w:val="22"/>
              </w:rPr>
            </w:pPr>
            <w:r w:rsidRPr="007C3D93">
              <w:rPr>
                <w:rFonts w:ascii="Tahoma" w:hAnsi="Tahoma" w:cs="Tahoma"/>
                <w:color w:val="000000"/>
                <w:sz w:val="22"/>
                <w:szCs w:val="22"/>
              </w:rPr>
              <w:t>50 400</w:t>
            </w:r>
          </w:p>
        </w:tc>
      </w:tr>
      <w:tr w:rsidR="00B45DFA" w:rsidRPr="005F14F1" w:rsidTr="00C82C2F">
        <w:trPr>
          <w:trHeight w:val="251"/>
        </w:trPr>
        <w:tc>
          <w:tcPr>
            <w:tcW w:w="879" w:type="dxa"/>
            <w:shd w:val="clear" w:color="auto" w:fill="auto"/>
            <w:vAlign w:val="bottom"/>
          </w:tcPr>
          <w:p w:rsidR="00B45DFA" w:rsidRPr="00B75A85" w:rsidRDefault="00B45DFA" w:rsidP="00C82C2F">
            <w:pPr>
              <w:jc w:val="center"/>
              <w:rPr>
                <w:rFonts w:ascii="Tahoma" w:hAnsi="Tahoma" w:cs="Tahoma"/>
                <w:sz w:val="22"/>
                <w:szCs w:val="22"/>
              </w:rPr>
            </w:pPr>
            <w:r w:rsidRPr="00B75A85">
              <w:rPr>
                <w:rFonts w:ascii="Tahoma" w:hAnsi="Tahoma" w:cs="Tahoma"/>
                <w:sz w:val="22"/>
                <w:szCs w:val="22"/>
              </w:rPr>
              <w:t>18</w:t>
            </w:r>
          </w:p>
        </w:tc>
        <w:tc>
          <w:tcPr>
            <w:tcW w:w="2940" w:type="dxa"/>
            <w:tcBorders>
              <w:right w:val="single" w:sz="4" w:space="0" w:color="auto"/>
            </w:tcBorders>
            <w:shd w:val="clear" w:color="auto" w:fill="auto"/>
            <w:vAlign w:val="bottom"/>
          </w:tcPr>
          <w:p w:rsidR="00B45DFA" w:rsidRPr="00B75A85" w:rsidRDefault="00B45DFA" w:rsidP="00C82C2F">
            <w:pPr>
              <w:jc w:val="right"/>
              <w:rPr>
                <w:rFonts w:ascii="Tahoma" w:hAnsi="Tahoma" w:cs="Tahoma"/>
                <w:sz w:val="22"/>
                <w:szCs w:val="22"/>
              </w:rPr>
            </w:pPr>
            <w:r w:rsidRPr="00B75A85">
              <w:rPr>
                <w:rFonts w:ascii="Tahoma" w:hAnsi="Tahoma" w:cs="Tahoma"/>
                <w:sz w:val="22"/>
                <w:szCs w:val="22"/>
              </w:rPr>
              <w:t>10440</w:t>
            </w:r>
          </w:p>
        </w:tc>
        <w:tc>
          <w:tcPr>
            <w:tcW w:w="604" w:type="dxa"/>
            <w:tcBorders>
              <w:top w:val="nil"/>
              <w:left w:val="single" w:sz="4" w:space="0" w:color="auto"/>
              <w:bottom w:val="nil"/>
              <w:right w:val="single" w:sz="4" w:space="0" w:color="auto"/>
            </w:tcBorders>
            <w:shd w:val="clear" w:color="auto" w:fill="auto"/>
          </w:tcPr>
          <w:p w:rsidR="00B45DFA" w:rsidRPr="005F14F1" w:rsidRDefault="00B45DFA" w:rsidP="00C82C2F">
            <w:pPr>
              <w:jc w:val="right"/>
              <w:rPr>
                <w:rFonts w:ascii="Tahoma" w:hAnsi="Tahoma" w:cs="Tahoma"/>
                <w:sz w:val="22"/>
                <w:szCs w:val="22"/>
              </w:rPr>
            </w:pPr>
          </w:p>
        </w:tc>
        <w:tc>
          <w:tcPr>
            <w:tcW w:w="969" w:type="dxa"/>
            <w:tcBorders>
              <w:left w:val="single" w:sz="4" w:space="0" w:color="auto"/>
            </w:tcBorders>
            <w:shd w:val="clear" w:color="auto" w:fill="auto"/>
            <w:vAlign w:val="bottom"/>
          </w:tcPr>
          <w:p w:rsidR="00B45DFA" w:rsidRPr="00E11DB5" w:rsidRDefault="00B45DFA" w:rsidP="00C82C2F">
            <w:pPr>
              <w:jc w:val="center"/>
              <w:rPr>
                <w:rFonts w:ascii="Tahoma" w:hAnsi="Tahoma" w:cs="Tahoma"/>
                <w:sz w:val="22"/>
                <w:szCs w:val="22"/>
              </w:rPr>
            </w:pPr>
            <w:r w:rsidRPr="00E11DB5">
              <w:rPr>
                <w:rFonts w:ascii="Tahoma" w:hAnsi="Tahoma" w:cs="Tahoma"/>
                <w:sz w:val="22"/>
                <w:szCs w:val="22"/>
              </w:rPr>
              <w:t>25</w:t>
            </w:r>
          </w:p>
        </w:tc>
        <w:tc>
          <w:tcPr>
            <w:tcW w:w="3093" w:type="dxa"/>
            <w:shd w:val="clear" w:color="auto" w:fill="auto"/>
            <w:vAlign w:val="bottom"/>
          </w:tcPr>
          <w:p w:rsidR="00B45DFA" w:rsidRPr="007C3D93" w:rsidRDefault="00B45DFA" w:rsidP="00C82C2F">
            <w:pPr>
              <w:jc w:val="right"/>
              <w:rPr>
                <w:rFonts w:ascii="Tahoma" w:hAnsi="Tahoma" w:cs="Tahoma"/>
                <w:color w:val="000000"/>
                <w:sz w:val="22"/>
                <w:szCs w:val="22"/>
              </w:rPr>
            </w:pPr>
            <w:r w:rsidRPr="007C3D93">
              <w:rPr>
                <w:rFonts w:ascii="Tahoma" w:hAnsi="Tahoma" w:cs="Tahoma"/>
                <w:color w:val="000000"/>
                <w:sz w:val="22"/>
                <w:szCs w:val="22"/>
              </w:rPr>
              <w:t>103 920</w:t>
            </w:r>
          </w:p>
        </w:tc>
      </w:tr>
      <w:tr w:rsidR="00B45DFA" w:rsidRPr="005F14F1" w:rsidTr="00C82C2F">
        <w:trPr>
          <w:trHeight w:val="251"/>
        </w:trPr>
        <w:tc>
          <w:tcPr>
            <w:tcW w:w="879" w:type="dxa"/>
            <w:shd w:val="clear" w:color="auto" w:fill="auto"/>
            <w:vAlign w:val="bottom"/>
          </w:tcPr>
          <w:p w:rsidR="00B45DFA" w:rsidRPr="00B75A85" w:rsidRDefault="00B45DFA" w:rsidP="00C82C2F">
            <w:pPr>
              <w:jc w:val="center"/>
              <w:rPr>
                <w:rFonts w:ascii="Tahoma" w:hAnsi="Tahoma" w:cs="Tahoma"/>
                <w:sz w:val="22"/>
                <w:szCs w:val="22"/>
              </w:rPr>
            </w:pPr>
            <w:r w:rsidRPr="00B75A85">
              <w:rPr>
                <w:rFonts w:ascii="Tahoma" w:hAnsi="Tahoma" w:cs="Tahoma"/>
                <w:sz w:val="22"/>
                <w:szCs w:val="22"/>
              </w:rPr>
              <w:t>19</w:t>
            </w:r>
          </w:p>
        </w:tc>
        <w:tc>
          <w:tcPr>
            <w:tcW w:w="2940" w:type="dxa"/>
            <w:tcBorders>
              <w:right w:val="single" w:sz="4" w:space="0" w:color="auto"/>
            </w:tcBorders>
            <w:shd w:val="clear" w:color="auto" w:fill="auto"/>
            <w:vAlign w:val="bottom"/>
          </w:tcPr>
          <w:p w:rsidR="00B45DFA" w:rsidRPr="00B75A85" w:rsidRDefault="00B45DFA" w:rsidP="00C82C2F">
            <w:pPr>
              <w:jc w:val="right"/>
              <w:rPr>
                <w:rFonts w:ascii="Tahoma" w:hAnsi="Tahoma" w:cs="Tahoma"/>
                <w:sz w:val="22"/>
                <w:szCs w:val="22"/>
              </w:rPr>
            </w:pPr>
            <w:r w:rsidRPr="00B75A85">
              <w:rPr>
                <w:rFonts w:ascii="Tahoma" w:hAnsi="Tahoma" w:cs="Tahoma"/>
                <w:sz w:val="22"/>
                <w:szCs w:val="22"/>
              </w:rPr>
              <w:t>215340</w:t>
            </w:r>
          </w:p>
        </w:tc>
        <w:tc>
          <w:tcPr>
            <w:tcW w:w="604" w:type="dxa"/>
            <w:tcBorders>
              <w:top w:val="nil"/>
              <w:left w:val="single" w:sz="4" w:space="0" w:color="auto"/>
              <w:bottom w:val="nil"/>
              <w:right w:val="single" w:sz="4" w:space="0" w:color="auto"/>
            </w:tcBorders>
            <w:shd w:val="clear" w:color="auto" w:fill="auto"/>
          </w:tcPr>
          <w:p w:rsidR="00B45DFA" w:rsidRPr="005F14F1" w:rsidRDefault="00B45DFA" w:rsidP="00C82C2F">
            <w:pPr>
              <w:jc w:val="right"/>
              <w:rPr>
                <w:rFonts w:ascii="Tahoma" w:hAnsi="Tahoma" w:cs="Tahoma"/>
                <w:sz w:val="22"/>
                <w:szCs w:val="22"/>
              </w:rPr>
            </w:pPr>
          </w:p>
        </w:tc>
        <w:tc>
          <w:tcPr>
            <w:tcW w:w="969" w:type="dxa"/>
            <w:tcBorders>
              <w:left w:val="single" w:sz="4" w:space="0" w:color="auto"/>
              <w:bottom w:val="single" w:sz="4" w:space="0" w:color="auto"/>
            </w:tcBorders>
            <w:shd w:val="clear" w:color="auto" w:fill="auto"/>
            <w:vAlign w:val="bottom"/>
          </w:tcPr>
          <w:p w:rsidR="00B45DFA" w:rsidRPr="00E11DB5" w:rsidRDefault="00B45DFA" w:rsidP="00C82C2F">
            <w:pPr>
              <w:jc w:val="center"/>
              <w:rPr>
                <w:rFonts w:ascii="Tahoma" w:hAnsi="Tahoma" w:cs="Tahoma"/>
                <w:sz w:val="22"/>
                <w:szCs w:val="22"/>
              </w:rPr>
            </w:pPr>
            <w:r w:rsidRPr="00E11DB5">
              <w:rPr>
                <w:rFonts w:ascii="Tahoma" w:hAnsi="Tahoma" w:cs="Tahoma"/>
                <w:sz w:val="22"/>
                <w:szCs w:val="22"/>
              </w:rPr>
              <w:t>26</w:t>
            </w:r>
          </w:p>
        </w:tc>
        <w:tc>
          <w:tcPr>
            <w:tcW w:w="3093" w:type="dxa"/>
            <w:tcBorders>
              <w:bottom w:val="single" w:sz="4" w:space="0" w:color="auto"/>
            </w:tcBorders>
            <w:shd w:val="clear" w:color="auto" w:fill="auto"/>
            <w:vAlign w:val="bottom"/>
          </w:tcPr>
          <w:p w:rsidR="00B45DFA" w:rsidRPr="007C3D93" w:rsidRDefault="00B45DFA" w:rsidP="00C82C2F">
            <w:pPr>
              <w:jc w:val="right"/>
              <w:rPr>
                <w:rFonts w:ascii="Tahoma" w:hAnsi="Tahoma" w:cs="Tahoma"/>
                <w:color w:val="000000"/>
                <w:sz w:val="22"/>
                <w:szCs w:val="22"/>
              </w:rPr>
            </w:pPr>
            <w:r w:rsidRPr="007C3D93">
              <w:rPr>
                <w:rFonts w:ascii="Tahoma" w:hAnsi="Tahoma" w:cs="Tahoma"/>
                <w:color w:val="000000"/>
                <w:sz w:val="22"/>
                <w:szCs w:val="22"/>
              </w:rPr>
              <w:t>64 548</w:t>
            </w:r>
          </w:p>
        </w:tc>
      </w:tr>
      <w:tr w:rsidR="00B45DFA" w:rsidRPr="005F14F1" w:rsidTr="00C82C2F">
        <w:trPr>
          <w:trHeight w:val="251"/>
        </w:trPr>
        <w:tc>
          <w:tcPr>
            <w:tcW w:w="879" w:type="dxa"/>
            <w:shd w:val="clear" w:color="auto" w:fill="auto"/>
            <w:vAlign w:val="bottom"/>
          </w:tcPr>
          <w:p w:rsidR="00B45DFA" w:rsidRPr="00B75A85" w:rsidRDefault="00B45DFA" w:rsidP="00C82C2F">
            <w:pPr>
              <w:jc w:val="center"/>
              <w:rPr>
                <w:rFonts w:ascii="Tahoma" w:hAnsi="Tahoma" w:cs="Tahoma"/>
                <w:sz w:val="22"/>
                <w:szCs w:val="22"/>
              </w:rPr>
            </w:pPr>
            <w:r w:rsidRPr="00B75A85">
              <w:rPr>
                <w:rFonts w:ascii="Tahoma" w:hAnsi="Tahoma" w:cs="Tahoma"/>
                <w:sz w:val="22"/>
                <w:szCs w:val="22"/>
              </w:rPr>
              <w:t>20</w:t>
            </w:r>
          </w:p>
        </w:tc>
        <w:tc>
          <w:tcPr>
            <w:tcW w:w="2940" w:type="dxa"/>
            <w:tcBorders>
              <w:right w:val="single" w:sz="4" w:space="0" w:color="auto"/>
            </w:tcBorders>
            <w:shd w:val="clear" w:color="auto" w:fill="auto"/>
            <w:vAlign w:val="bottom"/>
          </w:tcPr>
          <w:p w:rsidR="00B45DFA" w:rsidRPr="00B75A85" w:rsidRDefault="00B45DFA" w:rsidP="00C82C2F">
            <w:pPr>
              <w:jc w:val="right"/>
              <w:rPr>
                <w:rFonts w:ascii="Tahoma" w:hAnsi="Tahoma" w:cs="Tahoma"/>
                <w:sz w:val="22"/>
                <w:szCs w:val="22"/>
              </w:rPr>
            </w:pPr>
            <w:r w:rsidRPr="00B75A85">
              <w:rPr>
                <w:rFonts w:ascii="Tahoma" w:hAnsi="Tahoma" w:cs="Tahoma"/>
                <w:sz w:val="22"/>
                <w:szCs w:val="22"/>
              </w:rPr>
              <w:t>449040</w:t>
            </w:r>
          </w:p>
        </w:tc>
        <w:tc>
          <w:tcPr>
            <w:tcW w:w="604" w:type="dxa"/>
            <w:tcBorders>
              <w:top w:val="nil"/>
              <w:left w:val="single" w:sz="4" w:space="0" w:color="auto"/>
              <w:bottom w:val="nil"/>
              <w:right w:val="single" w:sz="4" w:space="0" w:color="auto"/>
            </w:tcBorders>
            <w:shd w:val="clear" w:color="auto" w:fill="auto"/>
          </w:tcPr>
          <w:p w:rsidR="00B45DFA" w:rsidRPr="005F14F1" w:rsidRDefault="00B45DFA" w:rsidP="00C82C2F">
            <w:pPr>
              <w:jc w:val="right"/>
              <w:rPr>
                <w:rFonts w:ascii="Tahoma" w:hAnsi="Tahoma" w:cs="Tahoma"/>
                <w:sz w:val="22"/>
                <w:szCs w:val="22"/>
              </w:rPr>
            </w:pPr>
          </w:p>
        </w:tc>
        <w:tc>
          <w:tcPr>
            <w:tcW w:w="969" w:type="dxa"/>
            <w:tcBorders>
              <w:left w:val="single" w:sz="4" w:space="0" w:color="auto"/>
              <w:bottom w:val="single" w:sz="4" w:space="0" w:color="auto"/>
            </w:tcBorders>
            <w:shd w:val="clear" w:color="auto" w:fill="auto"/>
            <w:vAlign w:val="bottom"/>
          </w:tcPr>
          <w:p w:rsidR="00B45DFA" w:rsidRPr="00E11DB5" w:rsidRDefault="00B45DFA" w:rsidP="00C82C2F">
            <w:pPr>
              <w:jc w:val="center"/>
              <w:rPr>
                <w:rFonts w:ascii="Tahoma" w:hAnsi="Tahoma" w:cs="Tahoma"/>
                <w:sz w:val="22"/>
                <w:szCs w:val="22"/>
              </w:rPr>
            </w:pPr>
            <w:r w:rsidRPr="00E11DB5">
              <w:rPr>
                <w:rFonts w:ascii="Tahoma" w:hAnsi="Tahoma" w:cs="Tahoma"/>
                <w:sz w:val="22"/>
                <w:szCs w:val="22"/>
              </w:rPr>
              <w:t>27</w:t>
            </w:r>
          </w:p>
        </w:tc>
        <w:tc>
          <w:tcPr>
            <w:tcW w:w="3093" w:type="dxa"/>
            <w:tcBorders>
              <w:bottom w:val="single" w:sz="4" w:space="0" w:color="auto"/>
            </w:tcBorders>
            <w:shd w:val="clear" w:color="auto" w:fill="auto"/>
            <w:vAlign w:val="bottom"/>
          </w:tcPr>
          <w:p w:rsidR="00B45DFA" w:rsidRPr="007C3D93" w:rsidRDefault="00B45DFA" w:rsidP="00C82C2F">
            <w:pPr>
              <w:jc w:val="right"/>
              <w:rPr>
                <w:rFonts w:ascii="Tahoma" w:hAnsi="Tahoma" w:cs="Tahoma"/>
                <w:color w:val="000000"/>
                <w:sz w:val="22"/>
                <w:szCs w:val="22"/>
              </w:rPr>
            </w:pPr>
            <w:r w:rsidRPr="007C3D93">
              <w:rPr>
                <w:rFonts w:ascii="Tahoma" w:hAnsi="Tahoma" w:cs="Tahoma"/>
                <w:color w:val="000000"/>
                <w:sz w:val="22"/>
                <w:szCs w:val="22"/>
              </w:rPr>
              <w:t>83 800</w:t>
            </w:r>
          </w:p>
        </w:tc>
      </w:tr>
      <w:tr w:rsidR="00B45DFA" w:rsidRPr="005F14F1" w:rsidTr="00C82C2F">
        <w:trPr>
          <w:trHeight w:val="251"/>
        </w:trPr>
        <w:tc>
          <w:tcPr>
            <w:tcW w:w="879" w:type="dxa"/>
            <w:shd w:val="clear" w:color="auto" w:fill="auto"/>
            <w:vAlign w:val="bottom"/>
          </w:tcPr>
          <w:p w:rsidR="00B45DFA" w:rsidRPr="00B75A85" w:rsidRDefault="00B45DFA" w:rsidP="00C82C2F">
            <w:pPr>
              <w:jc w:val="center"/>
              <w:rPr>
                <w:rFonts w:ascii="Tahoma" w:hAnsi="Tahoma" w:cs="Tahoma"/>
                <w:sz w:val="22"/>
                <w:szCs w:val="22"/>
              </w:rPr>
            </w:pPr>
            <w:r w:rsidRPr="00B75A85">
              <w:rPr>
                <w:rFonts w:ascii="Tahoma" w:hAnsi="Tahoma" w:cs="Tahoma"/>
                <w:sz w:val="22"/>
                <w:szCs w:val="22"/>
              </w:rPr>
              <w:t>21</w:t>
            </w:r>
          </w:p>
        </w:tc>
        <w:tc>
          <w:tcPr>
            <w:tcW w:w="2940" w:type="dxa"/>
            <w:tcBorders>
              <w:right w:val="single" w:sz="4" w:space="0" w:color="auto"/>
            </w:tcBorders>
            <w:shd w:val="clear" w:color="auto" w:fill="auto"/>
            <w:vAlign w:val="bottom"/>
          </w:tcPr>
          <w:p w:rsidR="00B45DFA" w:rsidRPr="00B75A85" w:rsidRDefault="00B45DFA" w:rsidP="00C82C2F">
            <w:pPr>
              <w:jc w:val="right"/>
              <w:rPr>
                <w:rFonts w:ascii="Tahoma" w:hAnsi="Tahoma" w:cs="Tahoma"/>
                <w:sz w:val="22"/>
                <w:szCs w:val="22"/>
              </w:rPr>
            </w:pPr>
            <w:r w:rsidRPr="00B75A85">
              <w:rPr>
                <w:rFonts w:ascii="Tahoma" w:hAnsi="Tahoma" w:cs="Tahoma"/>
                <w:sz w:val="22"/>
                <w:szCs w:val="22"/>
              </w:rPr>
              <w:t>620190</w:t>
            </w:r>
          </w:p>
        </w:tc>
        <w:tc>
          <w:tcPr>
            <w:tcW w:w="604" w:type="dxa"/>
            <w:tcBorders>
              <w:top w:val="nil"/>
              <w:left w:val="single" w:sz="4" w:space="0" w:color="auto"/>
              <w:bottom w:val="nil"/>
              <w:right w:val="nil"/>
            </w:tcBorders>
            <w:shd w:val="clear" w:color="auto" w:fill="auto"/>
          </w:tcPr>
          <w:p w:rsidR="00B45DFA" w:rsidRPr="005F14F1" w:rsidRDefault="00B45DFA" w:rsidP="00C82C2F">
            <w:pPr>
              <w:jc w:val="right"/>
              <w:rPr>
                <w:rFonts w:ascii="Tahoma" w:hAnsi="Tahoma" w:cs="Tahoma"/>
                <w:sz w:val="22"/>
                <w:szCs w:val="22"/>
              </w:rPr>
            </w:pPr>
          </w:p>
        </w:tc>
        <w:tc>
          <w:tcPr>
            <w:tcW w:w="969" w:type="dxa"/>
            <w:tcBorders>
              <w:top w:val="single" w:sz="4" w:space="0" w:color="auto"/>
              <w:left w:val="nil"/>
              <w:bottom w:val="nil"/>
              <w:right w:val="nil"/>
            </w:tcBorders>
            <w:shd w:val="clear" w:color="auto" w:fill="auto"/>
            <w:vAlign w:val="bottom"/>
          </w:tcPr>
          <w:p w:rsidR="00B45DFA" w:rsidRPr="00751C1D" w:rsidRDefault="00B45DFA" w:rsidP="00C82C2F">
            <w:pPr>
              <w:jc w:val="center"/>
              <w:rPr>
                <w:rFonts w:ascii="Tahoma" w:hAnsi="Tahoma" w:cs="Tahoma"/>
                <w:szCs w:val="22"/>
              </w:rPr>
            </w:pPr>
          </w:p>
        </w:tc>
        <w:tc>
          <w:tcPr>
            <w:tcW w:w="3093" w:type="dxa"/>
            <w:tcBorders>
              <w:top w:val="single" w:sz="4" w:space="0" w:color="auto"/>
              <w:left w:val="nil"/>
              <w:bottom w:val="nil"/>
              <w:right w:val="nil"/>
            </w:tcBorders>
            <w:shd w:val="clear" w:color="auto" w:fill="auto"/>
            <w:vAlign w:val="bottom"/>
          </w:tcPr>
          <w:p w:rsidR="00B45DFA" w:rsidRPr="007C3D93" w:rsidRDefault="00B45DFA" w:rsidP="00C82C2F">
            <w:pPr>
              <w:jc w:val="right"/>
              <w:rPr>
                <w:rFonts w:ascii="Tahoma" w:hAnsi="Tahoma" w:cs="Tahoma"/>
                <w:color w:val="000000"/>
                <w:sz w:val="22"/>
                <w:szCs w:val="22"/>
              </w:rPr>
            </w:pPr>
          </w:p>
        </w:tc>
      </w:tr>
    </w:tbl>
    <w:p w:rsidR="00B45DFA" w:rsidRPr="005F14F1" w:rsidRDefault="00B45DFA" w:rsidP="00B45DFA">
      <w:pPr>
        <w:spacing w:after="200" w:line="276" w:lineRule="auto"/>
        <w:ind w:left="720"/>
        <w:jc w:val="both"/>
        <w:rPr>
          <w:rFonts w:ascii="Verdana" w:hAnsi="Verdana" w:cs="Verdana"/>
          <w:b/>
          <w:sz w:val="16"/>
          <w:szCs w:val="16"/>
          <w:lang w:val="fr-CA"/>
        </w:rPr>
      </w:pPr>
    </w:p>
    <w:p w:rsidR="00B45DFA" w:rsidRPr="005F14F1" w:rsidRDefault="00B45DFA" w:rsidP="00B45DFA">
      <w:pPr>
        <w:spacing w:after="200" w:line="276" w:lineRule="auto"/>
        <w:ind w:left="720"/>
        <w:jc w:val="both"/>
        <w:rPr>
          <w:rFonts w:ascii="Tahoma" w:hAnsi="Tahoma" w:cs="Tahoma"/>
          <w:sz w:val="16"/>
          <w:szCs w:val="16"/>
        </w:rPr>
      </w:pPr>
      <w:r w:rsidRPr="005F14F1">
        <w:rPr>
          <w:rFonts w:ascii="Verdana" w:hAnsi="Verdana" w:cs="Verdana"/>
          <w:b/>
          <w:sz w:val="16"/>
          <w:szCs w:val="16"/>
          <w:lang w:val="fr-CA"/>
        </w:rPr>
        <w:t>NB</w:t>
      </w:r>
      <w:r w:rsidRPr="005F14F1">
        <w:rPr>
          <w:rFonts w:ascii="Verdana" w:hAnsi="Verdana" w:cs="Verdana"/>
          <w:sz w:val="16"/>
          <w:szCs w:val="16"/>
          <w:lang w:val="fr-CA"/>
        </w:rPr>
        <w:t> : Par exemple si le fournisseur soumissionne pour les articles 1 et 2, le montant de la caution doit être égal à :</w:t>
      </w:r>
      <w:r w:rsidRPr="005F14F1">
        <w:rPr>
          <w:rFonts w:ascii="Verdana" w:hAnsi="Verdana"/>
          <w:sz w:val="16"/>
          <w:szCs w:val="16"/>
        </w:rPr>
        <w:t xml:space="preserve"> </w:t>
      </w:r>
      <w:r w:rsidRPr="005F14F1">
        <w:rPr>
          <w:rFonts w:ascii="Calibri" w:hAnsi="Calibri"/>
          <w:color w:val="000000"/>
          <w:sz w:val="22"/>
          <w:szCs w:val="22"/>
        </w:rPr>
        <w:t xml:space="preserve">436 000 </w:t>
      </w:r>
      <w:r w:rsidRPr="005F14F1">
        <w:rPr>
          <w:rFonts w:ascii="Tahoma" w:hAnsi="Tahoma" w:cs="Tahoma"/>
          <w:sz w:val="16"/>
          <w:szCs w:val="16"/>
        </w:rPr>
        <w:t xml:space="preserve">+  </w:t>
      </w:r>
      <w:r w:rsidRPr="005F14F1">
        <w:rPr>
          <w:rFonts w:ascii="Calibri" w:hAnsi="Calibri"/>
          <w:color w:val="000000"/>
          <w:sz w:val="22"/>
          <w:szCs w:val="22"/>
        </w:rPr>
        <w:t>9 990 =  445 990 F CFA</w:t>
      </w:r>
    </w:p>
    <w:p w:rsidR="00B45DFA" w:rsidRPr="005F14F1" w:rsidRDefault="00B45DFA" w:rsidP="00B45DFA">
      <w:pPr>
        <w:numPr>
          <w:ilvl w:val="0"/>
          <w:numId w:val="1"/>
        </w:numPr>
        <w:spacing w:after="200" w:line="276" w:lineRule="auto"/>
        <w:jc w:val="both"/>
        <w:rPr>
          <w:rFonts w:ascii="Tahoma" w:hAnsi="Tahoma" w:cs="Tahoma"/>
          <w:sz w:val="22"/>
          <w:szCs w:val="22"/>
        </w:rPr>
      </w:pPr>
      <w:r w:rsidRPr="005F14F1">
        <w:rPr>
          <w:rFonts w:ascii="Tahoma" w:hAnsi="Tahoma" w:cs="Tahoma"/>
          <w:sz w:val="22"/>
          <w:szCs w:val="22"/>
        </w:rPr>
        <w:t>Les Soumissionnaires resteront engagés par leur offre pendant une période de quatre vingt dix jours (90) à compter de la date limite du dépôt des offres comme spécifié au point 19.1 des IC et au DPAO</w:t>
      </w:r>
    </w:p>
    <w:p w:rsidR="00B45DFA" w:rsidRPr="005F14F1" w:rsidRDefault="00B45DFA" w:rsidP="00B45DFA">
      <w:pPr>
        <w:numPr>
          <w:ilvl w:val="0"/>
          <w:numId w:val="1"/>
        </w:numPr>
        <w:spacing w:after="200" w:line="276" w:lineRule="auto"/>
        <w:jc w:val="both"/>
        <w:rPr>
          <w:rFonts w:ascii="Tahoma" w:hAnsi="Tahoma" w:cs="Tahoma"/>
          <w:sz w:val="22"/>
          <w:szCs w:val="22"/>
        </w:rPr>
      </w:pPr>
      <w:r w:rsidRPr="005F14F1">
        <w:rPr>
          <w:rFonts w:ascii="Tahoma" w:hAnsi="Tahoma" w:cs="Tahoma"/>
          <w:sz w:val="22"/>
          <w:szCs w:val="22"/>
        </w:rPr>
        <w:t>Les offres seront ouvertes en présence des représentants des soumissionnaires qui souhaitent ass</w:t>
      </w:r>
      <w:r>
        <w:rPr>
          <w:rFonts w:ascii="Tahoma" w:hAnsi="Tahoma" w:cs="Tahoma"/>
          <w:sz w:val="22"/>
          <w:szCs w:val="22"/>
        </w:rPr>
        <w:t xml:space="preserve">ister à l’ouverture des plis </w:t>
      </w:r>
      <w:r w:rsidRPr="00DA722F">
        <w:rPr>
          <w:rFonts w:ascii="Tahoma" w:hAnsi="Tahoma" w:cs="Tahoma"/>
          <w:color w:val="FF0000"/>
          <w:sz w:val="22"/>
          <w:szCs w:val="22"/>
        </w:rPr>
        <w:t>le ------------ 2022</w:t>
      </w:r>
      <w:r w:rsidRPr="005F14F1">
        <w:rPr>
          <w:rFonts w:ascii="Tahoma" w:hAnsi="Tahoma" w:cs="Tahoma"/>
          <w:sz w:val="22"/>
          <w:szCs w:val="22"/>
        </w:rPr>
        <w:t xml:space="preserve"> à 10 h 00  mn TU à l’adresse suivante : Direction Générale de la Pharmacie Populaire du Mali Avenue Moussa TRAVELE - Quartier du Fleuve  N° : 724 – BP : 277 Tel : (+223) 20 22 50 93  -  20 22 50 59  Fax : (+223) 20 22 90 34Mail :</w:t>
      </w:r>
      <w:hyperlink r:id="rId9" w:history="1">
        <w:r w:rsidRPr="005F14F1">
          <w:rPr>
            <w:rFonts w:ascii="Tahoma" w:hAnsi="Tahoma" w:cs="Tahoma"/>
            <w:color w:val="0000FF"/>
            <w:sz w:val="22"/>
            <w:szCs w:val="22"/>
            <w:u w:val="single"/>
          </w:rPr>
          <w:t>spdg@ppm-mali.com</w:t>
        </w:r>
      </w:hyperlink>
      <w:r w:rsidRPr="005F14F1">
        <w:rPr>
          <w:rFonts w:ascii="Tahoma" w:hAnsi="Tahoma" w:cs="Tahoma"/>
          <w:sz w:val="22"/>
          <w:szCs w:val="22"/>
        </w:rPr>
        <w:t xml:space="preserve">    Site Web : </w:t>
      </w:r>
      <w:hyperlink r:id="rId10" w:history="1">
        <w:r w:rsidRPr="005F14F1">
          <w:rPr>
            <w:rFonts w:ascii="Tahoma" w:hAnsi="Tahoma" w:cs="Tahoma"/>
            <w:color w:val="0000FF"/>
            <w:sz w:val="22"/>
            <w:szCs w:val="22"/>
            <w:u w:val="single"/>
          </w:rPr>
          <w:t>www.ppmmali.com</w:t>
        </w:r>
      </w:hyperlink>
      <w:r w:rsidRPr="005F14F1">
        <w:rPr>
          <w:rFonts w:ascii="Tahoma" w:hAnsi="Tahoma" w:cs="Tahoma"/>
          <w:color w:val="0000FF"/>
          <w:sz w:val="22"/>
          <w:szCs w:val="22"/>
          <w:u w:val="single"/>
        </w:rPr>
        <w:t>.</w:t>
      </w:r>
      <w:r w:rsidRPr="005F14F1">
        <w:rPr>
          <w:rFonts w:ascii="Verdana" w:hAnsi="Verdana"/>
          <w:b/>
          <w:sz w:val="22"/>
          <w:szCs w:val="22"/>
        </w:rPr>
        <w:t xml:space="preserve">                                                  </w:t>
      </w:r>
    </w:p>
    <w:p w:rsidR="00B45DFA" w:rsidRPr="00B75A85" w:rsidRDefault="00B45DFA" w:rsidP="00B45DFA">
      <w:pPr>
        <w:spacing w:after="160" w:line="259" w:lineRule="auto"/>
        <w:rPr>
          <w:rFonts w:eastAsia="Calibri"/>
          <w:color w:val="FF0000"/>
          <w:szCs w:val="24"/>
          <w:lang w:eastAsia="en-US"/>
        </w:rPr>
      </w:pPr>
      <w:r w:rsidRPr="00B75A85">
        <w:rPr>
          <w:rFonts w:eastAsia="Calibri"/>
          <w:color w:val="FF0000"/>
          <w:szCs w:val="24"/>
          <w:lang w:eastAsia="en-US"/>
        </w:rPr>
        <w:t xml:space="preserve">Bamako, le ------------ 2022                                               </w:t>
      </w:r>
    </w:p>
    <w:p w:rsidR="00B45DFA" w:rsidRDefault="00B45DFA" w:rsidP="00B45DFA">
      <w:pPr>
        <w:spacing w:after="160" w:line="259" w:lineRule="auto"/>
        <w:ind w:left="705" w:hanging="705"/>
        <w:jc w:val="right"/>
        <w:rPr>
          <w:rFonts w:eastAsia="Calibri"/>
          <w:szCs w:val="24"/>
          <w:lang w:eastAsia="en-US"/>
        </w:rPr>
      </w:pPr>
      <w:r w:rsidRPr="00AB5EDA">
        <w:rPr>
          <w:rFonts w:eastAsia="Calibri"/>
          <w:szCs w:val="24"/>
          <w:lang w:eastAsia="en-US"/>
        </w:rPr>
        <w:t xml:space="preserve">                 </w:t>
      </w:r>
      <w:r>
        <w:rPr>
          <w:rFonts w:eastAsia="Calibri"/>
          <w:szCs w:val="24"/>
          <w:lang w:eastAsia="en-US"/>
        </w:rPr>
        <w:t xml:space="preserve">                     </w:t>
      </w:r>
    </w:p>
    <w:p w:rsidR="00B45DFA" w:rsidRPr="00AB5EDA" w:rsidRDefault="00B45DFA" w:rsidP="00B45DFA">
      <w:pPr>
        <w:spacing w:after="160" w:line="259" w:lineRule="auto"/>
        <w:ind w:left="705" w:hanging="705"/>
        <w:jc w:val="center"/>
        <w:rPr>
          <w:rFonts w:eastAsia="Calibri"/>
          <w:szCs w:val="24"/>
          <w:lang w:eastAsia="en-US"/>
        </w:rPr>
      </w:pPr>
      <w:r>
        <w:rPr>
          <w:rFonts w:eastAsia="Calibri"/>
          <w:szCs w:val="24"/>
          <w:lang w:eastAsia="en-US"/>
        </w:rPr>
        <w:t xml:space="preserve">                                                                                          </w:t>
      </w:r>
      <w:r w:rsidRPr="00AB5EDA">
        <w:rPr>
          <w:rFonts w:eastAsia="Calibri"/>
          <w:szCs w:val="24"/>
          <w:lang w:eastAsia="en-US"/>
        </w:rPr>
        <w:t xml:space="preserve"> Le Président Directeur</w:t>
      </w:r>
      <w:r>
        <w:rPr>
          <w:rFonts w:eastAsia="Calibri"/>
          <w:szCs w:val="24"/>
          <w:lang w:eastAsia="en-US"/>
        </w:rPr>
        <w:t xml:space="preserve"> Général </w:t>
      </w:r>
    </w:p>
    <w:p w:rsidR="00B45DFA" w:rsidRPr="00AB5EDA" w:rsidRDefault="00B45DFA" w:rsidP="00B45DFA">
      <w:pPr>
        <w:spacing w:after="160" w:line="259" w:lineRule="auto"/>
        <w:rPr>
          <w:rFonts w:eastAsia="Calibri"/>
          <w:szCs w:val="24"/>
          <w:lang w:eastAsia="en-US"/>
        </w:rPr>
      </w:pPr>
    </w:p>
    <w:p w:rsidR="00B45DFA" w:rsidRPr="00AB5EDA" w:rsidRDefault="00B45DFA" w:rsidP="00B45DFA">
      <w:pPr>
        <w:spacing w:after="160" w:line="259" w:lineRule="auto"/>
        <w:ind w:left="705" w:hanging="705"/>
        <w:jc w:val="right"/>
        <w:rPr>
          <w:rFonts w:eastAsia="Calibri"/>
          <w:szCs w:val="24"/>
          <w:lang w:eastAsia="en-US"/>
        </w:rPr>
      </w:pPr>
    </w:p>
    <w:p w:rsidR="00B45DFA" w:rsidRDefault="00B45DFA" w:rsidP="00B45DFA">
      <w:pPr>
        <w:spacing w:line="259" w:lineRule="auto"/>
        <w:ind w:left="705" w:hanging="705"/>
        <w:jc w:val="center"/>
        <w:rPr>
          <w:rFonts w:eastAsia="Calibri"/>
          <w:szCs w:val="24"/>
          <w:lang w:eastAsia="en-US"/>
        </w:rPr>
      </w:pPr>
      <w:r>
        <w:rPr>
          <w:rFonts w:eastAsia="Calibri"/>
          <w:szCs w:val="24"/>
          <w:lang w:eastAsia="en-US"/>
        </w:rPr>
        <w:t xml:space="preserve">                                                                                                 Dr  Mamady SISSOKO</w:t>
      </w:r>
    </w:p>
    <w:p w:rsidR="00B45DFA" w:rsidRPr="00B75A85" w:rsidRDefault="00B45DFA" w:rsidP="00B45DFA">
      <w:pPr>
        <w:ind w:left="930"/>
        <w:jc w:val="both"/>
        <w:rPr>
          <w:rFonts w:ascii="Verdana" w:hAnsi="Verdana"/>
          <w:b/>
          <w:sz w:val="16"/>
          <w:szCs w:val="16"/>
        </w:rPr>
      </w:pPr>
      <w:r>
        <w:rPr>
          <w:rFonts w:eastAsia="Calibri"/>
          <w:szCs w:val="24"/>
          <w:lang w:eastAsia="en-US"/>
        </w:rPr>
        <w:t xml:space="preserve">                                                                                           </w:t>
      </w:r>
      <w:r w:rsidRPr="00B75A85">
        <w:rPr>
          <w:rFonts w:eastAsia="Calibri"/>
          <w:sz w:val="16"/>
          <w:szCs w:val="16"/>
          <w:lang w:eastAsia="en-US"/>
        </w:rPr>
        <w:t>Chevalier de l’Ordre du Mérite de la Santé</w:t>
      </w:r>
    </w:p>
    <w:p w:rsidR="00B45DFA" w:rsidRDefault="00B45DFA" w:rsidP="00B45DFA">
      <w:pPr>
        <w:ind w:left="930"/>
        <w:jc w:val="both"/>
        <w:rPr>
          <w:rFonts w:ascii="Verdana" w:hAnsi="Verdana"/>
          <w:b/>
          <w:sz w:val="22"/>
          <w:szCs w:val="22"/>
        </w:rPr>
      </w:pP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t xml:space="preserve">                   </w:t>
      </w:r>
    </w:p>
    <w:p w:rsidR="00B45DFA" w:rsidRDefault="00B45DFA" w:rsidP="00B45DFA">
      <w:pPr>
        <w:spacing w:after="160" w:line="259" w:lineRule="auto"/>
        <w:rPr>
          <w:rFonts w:eastAsia="Calibri"/>
          <w:szCs w:val="24"/>
          <w:lang w:eastAsia="en-US"/>
        </w:rPr>
      </w:pPr>
    </w:p>
    <w:p w:rsidR="00B45DFA" w:rsidRDefault="00B45DFA" w:rsidP="00B45DFA">
      <w:pPr>
        <w:spacing w:after="160" w:line="259" w:lineRule="auto"/>
        <w:rPr>
          <w:rFonts w:eastAsia="Calibri"/>
          <w:szCs w:val="24"/>
          <w:lang w:eastAsia="en-US"/>
        </w:rPr>
      </w:pPr>
    </w:p>
    <w:p w:rsidR="00B45DFA" w:rsidRDefault="00B45DFA" w:rsidP="00B45DFA">
      <w:pPr>
        <w:spacing w:after="160" w:line="259" w:lineRule="auto"/>
        <w:rPr>
          <w:rFonts w:eastAsia="Calibri"/>
          <w:szCs w:val="24"/>
          <w:lang w:eastAsia="en-US"/>
        </w:rPr>
      </w:pPr>
    </w:p>
    <w:p w:rsidR="00B45DFA" w:rsidRPr="00F55A0E" w:rsidRDefault="00B45DFA" w:rsidP="00B45DFA">
      <w:pPr>
        <w:pStyle w:val="Titre3"/>
        <w:framePr w:hSpace="141" w:wrap="around" w:vAnchor="text" w:hAnchor="margin" w:xAlign="center" w:y="-44"/>
        <w:suppressOverlap/>
        <w:rPr>
          <w:b/>
          <w:color w:val="000000"/>
          <w:sz w:val="36"/>
          <w:szCs w:val="36"/>
          <w:lang w:val="fr-FR"/>
        </w:rPr>
      </w:pPr>
      <w:bookmarkStart w:id="2" w:name="_Toc494878600"/>
      <w:bookmarkStart w:id="3" w:name="_Toc196112432"/>
      <w:bookmarkStart w:id="4" w:name="_Toc239642596"/>
      <w:r w:rsidRPr="00F55A0E">
        <w:rPr>
          <w:b/>
          <w:color w:val="000000"/>
          <w:sz w:val="36"/>
          <w:szCs w:val="36"/>
          <w:lang w:val="fr-FR"/>
        </w:rPr>
        <w:lastRenderedPageBreak/>
        <w:t>Bordereau des prix et calendrier de livraison pour les fournitures</w:t>
      </w:r>
      <w:bookmarkEnd w:id="2"/>
    </w:p>
    <w:p w:rsidR="00B45DFA" w:rsidRPr="00C01864" w:rsidRDefault="00B45DFA" w:rsidP="00B45DFA">
      <w:pPr>
        <w:framePr w:hSpace="141" w:wrap="around" w:vAnchor="text" w:hAnchor="margin" w:xAlign="center" w:y="-44"/>
        <w:spacing w:after="200"/>
        <w:suppressOverlap/>
        <w:jc w:val="both"/>
        <w:rPr>
          <w:szCs w:val="24"/>
        </w:rPr>
      </w:pPr>
      <w:r w:rsidRPr="00C01864">
        <w:rPr>
          <w:szCs w:val="24"/>
        </w:rPr>
        <w:t>Date</w:t>
      </w:r>
      <w:r>
        <w:rPr>
          <w:szCs w:val="24"/>
        </w:rPr>
        <w:t xml:space="preserve"> : </w:t>
      </w:r>
      <w:r w:rsidRPr="00EA3B32">
        <w:rPr>
          <w:i/>
          <w:szCs w:val="24"/>
        </w:rPr>
        <w:t>[Insérer la date (jour, mois, année) de remise de l’offre]</w:t>
      </w:r>
    </w:p>
    <w:p w:rsidR="00B45DFA" w:rsidRPr="001A4160" w:rsidRDefault="00B45DFA" w:rsidP="00B45DFA">
      <w:pPr>
        <w:jc w:val="both"/>
        <w:rPr>
          <w:szCs w:val="24"/>
        </w:rPr>
      </w:pPr>
      <w:r>
        <w:rPr>
          <w:szCs w:val="24"/>
        </w:rPr>
        <w:lastRenderedPageBreak/>
        <w:t>AAO No.: 02/</w:t>
      </w:r>
      <w:r w:rsidRPr="000F3B4B">
        <w:rPr>
          <w:szCs w:val="24"/>
        </w:rPr>
        <w:t>202</w:t>
      </w:r>
      <w:r>
        <w:rPr>
          <w:szCs w:val="24"/>
        </w:rPr>
        <w:t>2</w:t>
      </w:r>
      <w:r w:rsidRPr="000F3B4B">
        <w:rPr>
          <w:szCs w:val="24"/>
        </w:rPr>
        <w:t>-PPM pour la Fourniture de Médicaments anticancéreux  en Dénomination Commune Internationale (DCI).</w:t>
      </w:r>
      <w:bookmarkEnd w:id="3"/>
      <w:bookmarkEnd w:id="4"/>
    </w:p>
    <w:p w:rsidR="00B45DFA" w:rsidRDefault="00B45DFA" w:rsidP="00B45DFA">
      <w:pPr>
        <w:suppressAutoHyphens/>
        <w:jc w:val="both"/>
        <w:rPr>
          <w:rFonts w:ascii="Verdana" w:hAnsi="Verdana"/>
          <w:sz w:val="22"/>
          <w:szCs w:val="22"/>
        </w:rPr>
      </w:pPr>
    </w:p>
    <w:p w:rsidR="00B45DFA" w:rsidRDefault="00B45DFA" w:rsidP="00B45DFA">
      <w:pPr>
        <w:suppressAutoHyphens/>
        <w:jc w:val="both"/>
        <w:rPr>
          <w:rFonts w:ascii="Verdana" w:hAnsi="Verdana"/>
          <w:sz w:val="22"/>
          <w:szCs w:val="22"/>
        </w:rPr>
      </w:pPr>
    </w:p>
    <w:p w:rsidR="00B45DFA" w:rsidRDefault="00B45DFA" w:rsidP="00B45DFA">
      <w:pPr>
        <w:suppressAutoHyphens/>
        <w:jc w:val="both"/>
        <w:rPr>
          <w:rFonts w:ascii="Verdana" w:hAnsi="Verdana"/>
          <w:sz w:val="22"/>
          <w:szCs w:val="22"/>
        </w:rPr>
      </w:pPr>
      <w:r w:rsidRPr="001A4160">
        <w:rPr>
          <w:rFonts w:ascii="Verdana" w:hAnsi="Verdana"/>
          <w:sz w:val="22"/>
          <w:szCs w:val="22"/>
        </w:rPr>
        <w:t xml:space="preserve"> </w:t>
      </w:r>
    </w:p>
    <w:tbl>
      <w:tblPr>
        <w:tblW w:w="9920" w:type="dxa"/>
        <w:tblInd w:w="-697" w:type="dxa"/>
        <w:tblLayout w:type="fixed"/>
        <w:tblCellMar>
          <w:left w:w="72" w:type="dxa"/>
          <w:right w:w="72" w:type="dxa"/>
        </w:tblCellMar>
        <w:tblLook w:val="0000" w:firstRow="0" w:lastRow="0" w:firstColumn="0" w:lastColumn="0" w:noHBand="0" w:noVBand="0"/>
      </w:tblPr>
      <w:tblGrid>
        <w:gridCol w:w="532"/>
        <w:gridCol w:w="1665"/>
        <w:gridCol w:w="990"/>
        <w:gridCol w:w="1530"/>
        <w:gridCol w:w="1350"/>
        <w:gridCol w:w="1160"/>
        <w:gridCol w:w="1276"/>
        <w:gridCol w:w="1417"/>
      </w:tblGrid>
      <w:tr w:rsidR="00B45DFA" w:rsidRPr="0044783A" w:rsidTr="00C82C2F">
        <w:tc>
          <w:tcPr>
            <w:tcW w:w="532" w:type="dxa"/>
            <w:tcBorders>
              <w:top w:val="double" w:sz="6" w:space="0" w:color="auto"/>
              <w:left w:val="double" w:sz="6" w:space="0" w:color="auto"/>
              <w:bottom w:val="nil"/>
              <w:right w:val="nil"/>
            </w:tcBorders>
          </w:tcPr>
          <w:p w:rsidR="00B45DFA" w:rsidRPr="0044783A" w:rsidRDefault="00B45DFA" w:rsidP="00C82C2F">
            <w:pPr>
              <w:suppressAutoHyphens/>
              <w:jc w:val="center"/>
              <w:rPr>
                <w:sz w:val="20"/>
              </w:rPr>
            </w:pPr>
            <w:r w:rsidRPr="0044783A">
              <w:rPr>
                <w:sz w:val="20"/>
              </w:rPr>
              <w:t>1</w:t>
            </w:r>
          </w:p>
        </w:tc>
        <w:tc>
          <w:tcPr>
            <w:tcW w:w="1665" w:type="dxa"/>
            <w:tcBorders>
              <w:top w:val="double" w:sz="6" w:space="0" w:color="auto"/>
              <w:left w:val="single" w:sz="6" w:space="0" w:color="auto"/>
              <w:bottom w:val="nil"/>
              <w:right w:val="nil"/>
            </w:tcBorders>
          </w:tcPr>
          <w:p w:rsidR="00B45DFA" w:rsidRPr="0044783A" w:rsidRDefault="00B45DFA" w:rsidP="00C82C2F">
            <w:pPr>
              <w:suppressAutoHyphens/>
              <w:jc w:val="center"/>
              <w:rPr>
                <w:sz w:val="20"/>
              </w:rPr>
            </w:pPr>
            <w:r w:rsidRPr="0044783A">
              <w:rPr>
                <w:sz w:val="20"/>
              </w:rPr>
              <w:t>2</w:t>
            </w:r>
          </w:p>
        </w:tc>
        <w:tc>
          <w:tcPr>
            <w:tcW w:w="990" w:type="dxa"/>
            <w:tcBorders>
              <w:top w:val="double" w:sz="6" w:space="0" w:color="auto"/>
              <w:left w:val="single" w:sz="6" w:space="0" w:color="auto"/>
              <w:bottom w:val="nil"/>
              <w:right w:val="nil"/>
            </w:tcBorders>
          </w:tcPr>
          <w:p w:rsidR="00B45DFA" w:rsidRPr="0044783A" w:rsidRDefault="00B45DFA" w:rsidP="00C82C2F">
            <w:pPr>
              <w:suppressAutoHyphens/>
              <w:jc w:val="center"/>
              <w:rPr>
                <w:sz w:val="20"/>
              </w:rPr>
            </w:pPr>
            <w:r w:rsidRPr="0044783A">
              <w:rPr>
                <w:sz w:val="20"/>
              </w:rPr>
              <w:t>3</w:t>
            </w:r>
          </w:p>
        </w:tc>
        <w:tc>
          <w:tcPr>
            <w:tcW w:w="1530" w:type="dxa"/>
            <w:tcBorders>
              <w:top w:val="double" w:sz="6" w:space="0" w:color="auto"/>
              <w:left w:val="single" w:sz="6" w:space="0" w:color="auto"/>
              <w:bottom w:val="nil"/>
              <w:right w:val="nil"/>
            </w:tcBorders>
          </w:tcPr>
          <w:p w:rsidR="00B45DFA" w:rsidRPr="0044783A" w:rsidRDefault="00B45DFA" w:rsidP="00C82C2F">
            <w:pPr>
              <w:suppressAutoHyphens/>
              <w:jc w:val="center"/>
              <w:rPr>
                <w:sz w:val="20"/>
              </w:rPr>
            </w:pPr>
            <w:r w:rsidRPr="0044783A">
              <w:rPr>
                <w:sz w:val="20"/>
              </w:rPr>
              <w:t>4</w:t>
            </w:r>
          </w:p>
        </w:tc>
        <w:tc>
          <w:tcPr>
            <w:tcW w:w="1350" w:type="dxa"/>
            <w:tcBorders>
              <w:top w:val="double" w:sz="6" w:space="0" w:color="auto"/>
              <w:left w:val="single" w:sz="6" w:space="0" w:color="auto"/>
              <w:bottom w:val="nil"/>
              <w:right w:val="nil"/>
            </w:tcBorders>
          </w:tcPr>
          <w:p w:rsidR="00B45DFA" w:rsidRPr="0044783A" w:rsidRDefault="00B45DFA" w:rsidP="00C82C2F">
            <w:pPr>
              <w:suppressAutoHyphens/>
              <w:jc w:val="center"/>
              <w:rPr>
                <w:sz w:val="20"/>
              </w:rPr>
            </w:pPr>
            <w:r w:rsidRPr="0044783A">
              <w:rPr>
                <w:sz w:val="20"/>
              </w:rPr>
              <w:t>5</w:t>
            </w:r>
          </w:p>
        </w:tc>
        <w:tc>
          <w:tcPr>
            <w:tcW w:w="1160" w:type="dxa"/>
            <w:tcBorders>
              <w:top w:val="double" w:sz="6" w:space="0" w:color="auto"/>
              <w:left w:val="single" w:sz="6" w:space="0" w:color="auto"/>
              <w:bottom w:val="nil"/>
              <w:right w:val="double" w:sz="6" w:space="0" w:color="auto"/>
            </w:tcBorders>
          </w:tcPr>
          <w:p w:rsidR="00B45DFA" w:rsidRPr="0044783A" w:rsidRDefault="00B45DFA" w:rsidP="00C82C2F">
            <w:pPr>
              <w:suppressAutoHyphens/>
              <w:jc w:val="center"/>
              <w:rPr>
                <w:sz w:val="20"/>
              </w:rPr>
            </w:pPr>
            <w:r w:rsidRPr="0044783A">
              <w:rPr>
                <w:sz w:val="20"/>
              </w:rPr>
              <w:t>7</w:t>
            </w:r>
          </w:p>
        </w:tc>
        <w:tc>
          <w:tcPr>
            <w:tcW w:w="1276" w:type="dxa"/>
            <w:tcBorders>
              <w:top w:val="double" w:sz="6" w:space="0" w:color="auto"/>
              <w:left w:val="single" w:sz="6" w:space="0" w:color="auto"/>
              <w:bottom w:val="nil"/>
              <w:right w:val="double" w:sz="6" w:space="0" w:color="auto"/>
            </w:tcBorders>
          </w:tcPr>
          <w:p w:rsidR="00B45DFA" w:rsidRPr="0044783A" w:rsidRDefault="00B45DFA" w:rsidP="00C82C2F">
            <w:pPr>
              <w:suppressAutoHyphens/>
              <w:jc w:val="center"/>
              <w:rPr>
                <w:sz w:val="20"/>
              </w:rPr>
            </w:pPr>
            <w:r w:rsidRPr="0044783A">
              <w:rPr>
                <w:sz w:val="20"/>
              </w:rPr>
              <w:t>8</w:t>
            </w:r>
          </w:p>
        </w:tc>
        <w:tc>
          <w:tcPr>
            <w:tcW w:w="1417" w:type="dxa"/>
            <w:tcBorders>
              <w:top w:val="double" w:sz="6" w:space="0" w:color="auto"/>
              <w:left w:val="single" w:sz="6" w:space="0" w:color="auto"/>
              <w:bottom w:val="nil"/>
              <w:right w:val="double" w:sz="6" w:space="0" w:color="auto"/>
            </w:tcBorders>
          </w:tcPr>
          <w:p w:rsidR="00B45DFA" w:rsidRPr="0044783A" w:rsidRDefault="00B45DFA" w:rsidP="00C82C2F">
            <w:pPr>
              <w:suppressAutoHyphens/>
              <w:jc w:val="center"/>
              <w:rPr>
                <w:sz w:val="20"/>
              </w:rPr>
            </w:pPr>
            <w:r w:rsidRPr="0044783A">
              <w:rPr>
                <w:sz w:val="20"/>
              </w:rPr>
              <w:t>9</w:t>
            </w:r>
          </w:p>
        </w:tc>
      </w:tr>
      <w:tr w:rsidR="00B45DFA" w:rsidRPr="0044783A" w:rsidTr="00C82C2F">
        <w:tc>
          <w:tcPr>
            <w:tcW w:w="532" w:type="dxa"/>
            <w:tcBorders>
              <w:top w:val="double" w:sz="6" w:space="0" w:color="auto"/>
              <w:left w:val="double" w:sz="6" w:space="0" w:color="auto"/>
              <w:bottom w:val="nil"/>
              <w:right w:val="nil"/>
            </w:tcBorders>
            <w:shd w:val="clear" w:color="auto" w:fill="F2F2F2"/>
          </w:tcPr>
          <w:p w:rsidR="00B45DFA" w:rsidRPr="0044783A" w:rsidRDefault="00B45DFA" w:rsidP="00C82C2F">
            <w:pPr>
              <w:suppressAutoHyphens/>
              <w:jc w:val="center"/>
              <w:rPr>
                <w:b/>
                <w:sz w:val="20"/>
              </w:rPr>
            </w:pPr>
            <w:r w:rsidRPr="0044783A">
              <w:rPr>
                <w:b/>
                <w:sz w:val="20"/>
              </w:rPr>
              <w:t>Article (s)</w:t>
            </w:r>
          </w:p>
        </w:tc>
        <w:tc>
          <w:tcPr>
            <w:tcW w:w="1665" w:type="dxa"/>
            <w:tcBorders>
              <w:top w:val="double" w:sz="6" w:space="0" w:color="auto"/>
              <w:left w:val="single" w:sz="6" w:space="0" w:color="auto"/>
              <w:bottom w:val="nil"/>
              <w:right w:val="nil"/>
            </w:tcBorders>
            <w:shd w:val="clear" w:color="auto" w:fill="F2F2F2"/>
          </w:tcPr>
          <w:p w:rsidR="00B45DFA" w:rsidRPr="0044783A" w:rsidRDefault="00B45DFA" w:rsidP="00C82C2F">
            <w:pPr>
              <w:suppressAutoHyphens/>
              <w:jc w:val="center"/>
              <w:rPr>
                <w:b/>
                <w:sz w:val="20"/>
              </w:rPr>
            </w:pPr>
            <w:r w:rsidRPr="0044783A">
              <w:rPr>
                <w:b/>
                <w:sz w:val="20"/>
              </w:rPr>
              <w:t>Description</w:t>
            </w:r>
          </w:p>
          <w:p w:rsidR="00B45DFA" w:rsidRPr="0044783A" w:rsidRDefault="00B45DFA" w:rsidP="00C82C2F">
            <w:pPr>
              <w:suppressAutoHyphens/>
              <w:jc w:val="center"/>
              <w:rPr>
                <w:b/>
                <w:sz w:val="20"/>
              </w:rPr>
            </w:pPr>
            <w:r w:rsidRPr="0044783A">
              <w:rPr>
                <w:b/>
                <w:sz w:val="20"/>
              </w:rPr>
              <w:t>(Désignation)</w:t>
            </w:r>
          </w:p>
        </w:tc>
        <w:tc>
          <w:tcPr>
            <w:tcW w:w="990" w:type="dxa"/>
            <w:tcBorders>
              <w:top w:val="double" w:sz="6" w:space="0" w:color="auto"/>
              <w:left w:val="single" w:sz="6" w:space="0" w:color="auto"/>
              <w:bottom w:val="nil"/>
              <w:right w:val="nil"/>
            </w:tcBorders>
            <w:shd w:val="clear" w:color="auto" w:fill="F2F2F2"/>
          </w:tcPr>
          <w:p w:rsidR="00B45DFA" w:rsidRPr="0044783A" w:rsidRDefault="00B45DFA" w:rsidP="00C82C2F">
            <w:pPr>
              <w:suppressAutoHyphens/>
              <w:jc w:val="center"/>
              <w:rPr>
                <w:b/>
                <w:sz w:val="20"/>
              </w:rPr>
            </w:pPr>
            <w:r w:rsidRPr="0044783A">
              <w:rPr>
                <w:b/>
                <w:sz w:val="20"/>
              </w:rPr>
              <w:t xml:space="preserve">Dosage </w:t>
            </w:r>
          </w:p>
        </w:tc>
        <w:tc>
          <w:tcPr>
            <w:tcW w:w="1530" w:type="dxa"/>
            <w:tcBorders>
              <w:top w:val="double" w:sz="6" w:space="0" w:color="auto"/>
              <w:left w:val="single" w:sz="6" w:space="0" w:color="auto"/>
              <w:bottom w:val="nil"/>
              <w:right w:val="nil"/>
            </w:tcBorders>
            <w:shd w:val="clear" w:color="auto" w:fill="F2F2F2"/>
          </w:tcPr>
          <w:p w:rsidR="00B45DFA" w:rsidRPr="0044783A" w:rsidRDefault="00B45DFA" w:rsidP="00C82C2F">
            <w:pPr>
              <w:suppressAutoHyphens/>
              <w:jc w:val="center"/>
              <w:rPr>
                <w:b/>
                <w:sz w:val="20"/>
              </w:rPr>
            </w:pPr>
            <w:r w:rsidRPr="0044783A">
              <w:rPr>
                <w:b/>
                <w:sz w:val="20"/>
              </w:rPr>
              <w:t>forme</w:t>
            </w:r>
          </w:p>
        </w:tc>
        <w:tc>
          <w:tcPr>
            <w:tcW w:w="1350" w:type="dxa"/>
            <w:tcBorders>
              <w:top w:val="double" w:sz="6" w:space="0" w:color="auto"/>
              <w:left w:val="single" w:sz="6" w:space="0" w:color="auto"/>
              <w:bottom w:val="nil"/>
              <w:right w:val="nil"/>
            </w:tcBorders>
            <w:shd w:val="clear" w:color="auto" w:fill="F2F2F2"/>
          </w:tcPr>
          <w:p w:rsidR="00B45DFA" w:rsidRPr="0044783A" w:rsidRDefault="00B45DFA" w:rsidP="00C82C2F">
            <w:pPr>
              <w:suppressAutoHyphens/>
              <w:jc w:val="center"/>
              <w:rPr>
                <w:b/>
                <w:sz w:val="20"/>
              </w:rPr>
            </w:pPr>
            <w:r w:rsidRPr="0044783A">
              <w:rPr>
                <w:b/>
                <w:sz w:val="20"/>
              </w:rPr>
              <w:t xml:space="preserve">Présentation en unité </w:t>
            </w:r>
          </w:p>
        </w:tc>
        <w:tc>
          <w:tcPr>
            <w:tcW w:w="1160" w:type="dxa"/>
            <w:tcBorders>
              <w:top w:val="double" w:sz="6" w:space="0" w:color="auto"/>
              <w:left w:val="single" w:sz="6" w:space="0" w:color="auto"/>
              <w:bottom w:val="nil"/>
              <w:right w:val="double" w:sz="6" w:space="0" w:color="auto"/>
            </w:tcBorders>
            <w:shd w:val="clear" w:color="auto" w:fill="F2F2F2"/>
          </w:tcPr>
          <w:p w:rsidR="00B45DFA" w:rsidRPr="0044783A" w:rsidRDefault="00B45DFA" w:rsidP="00C82C2F">
            <w:pPr>
              <w:suppressAutoHyphens/>
              <w:jc w:val="center"/>
              <w:rPr>
                <w:b/>
                <w:sz w:val="20"/>
              </w:rPr>
            </w:pPr>
            <w:r w:rsidRPr="0044783A">
              <w:rPr>
                <w:b/>
                <w:sz w:val="20"/>
              </w:rPr>
              <w:t>Quantité</w:t>
            </w:r>
          </w:p>
          <w:p w:rsidR="00B45DFA" w:rsidRPr="0044783A" w:rsidRDefault="00B45DFA" w:rsidP="00C82C2F">
            <w:pPr>
              <w:suppressAutoHyphens/>
              <w:jc w:val="center"/>
              <w:rPr>
                <w:b/>
                <w:sz w:val="20"/>
              </w:rPr>
            </w:pPr>
            <w:r w:rsidRPr="0044783A">
              <w:rPr>
                <w:b/>
                <w:sz w:val="20"/>
              </w:rPr>
              <w:t>(Nombre d’unités)</w:t>
            </w:r>
          </w:p>
        </w:tc>
        <w:tc>
          <w:tcPr>
            <w:tcW w:w="1276" w:type="dxa"/>
            <w:tcBorders>
              <w:top w:val="double" w:sz="6" w:space="0" w:color="auto"/>
              <w:left w:val="single" w:sz="6" w:space="0" w:color="auto"/>
              <w:bottom w:val="nil"/>
              <w:right w:val="double" w:sz="6" w:space="0" w:color="auto"/>
            </w:tcBorders>
            <w:shd w:val="clear" w:color="auto" w:fill="F2F2F2"/>
          </w:tcPr>
          <w:p w:rsidR="00B45DFA" w:rsidRPr="0044783A" w:rsidRDefault="00B45DFA" w:rsidP="00C82C2F">
            <w:pPr>
              <w:suppressAutoHyphens/>
              <w:jc w:val="center"/>
              <w:rPr>
                <w:b/>
                <w:sz w:val="20"/>
              </w:rPr>
            </w:pPr>
            <w:r w:rsidRPr="0044783A">
              <w:rPr>
                <w:b/>
                <w:sz w:val="20"/>
              </w:rPr>
              <w:t>Prix unitaire</w:t>
            </w:r>
          </w:p>
          <w:p w:rsidR="00B45DFA" w:rsidRPr="0044783A" w:rsidRDefault="00B45DFA" w:rsidP="00C82C2F">
            <w:pPr>
              <w:suppressAutoHyphens/>
              <w:jc w:val="center"/>
              <w:rPr>
                <w:b/>
                <w:sz w:val="20"/>
              </w:rPr>
            </w:pPr>
            <w:r>
              <w:rPr>
                <w:b/>
                <w:sz w:val="20"/>
              </w:rPr>
              <w:t>HT</w:t>
            </w:r>
          </w:p>
        </w:tc>
        <w:tc>
          <w:tcPr>
            <w:tcW w:w="1417" w:type="dxa"/>
            <w:tcBorders>
              <w:top w:val="double" w:sz="6" w:space="0" w:color="auto"/>
              <w:left w:val="single" w:sz="6" w:space="0" w:color="auto"/>
              <w:bottom w:val="nil"/>
              <w:right w:val="double" w:sz="6" w:space="0" w:color="auto"/>
            </w:tcBorders>
            <w:shd w:val="clear" w:color="auto" w:fill="F2F2F2"/>
          </w:tcPr>
          <w:p w:rsidR="00B45DFA" w:rsidRPr="0044783A" w:rsidRDefault="00B45DFA" w:rsidP="00C82C2F">
            <w:pPr>
              <w:suppressAutoHyphens/>
              <w:jc w:val="center"/>
              <w:rPr>
                <w:b/>
                <w:sz w:val="20"/>
              </w:rPr>
            </w:pPr>
            <w:r w:rsidRPr="0044783A">
              <w:rPr>
                <w:b/>
                <w:sz w:val="20"/>
              </w:rPr>
              <w:t>Prix total par article</w:t>
            </w:r>
          </w:p>
          <w:p w:rsidR="00B45DFA" w:rsidRPr="0044783A" w:rsidRDefault="00B45DFA" w:rsidP="00C82C2F">
            <w:pPr>
              <w:suppressAutoHyphens/>
              <w:jc w:val="center"/>
              <w:rPr>
                <w:b/>
                <w:sz w:val="20"/>
              </w:rPr>
            </w:pPr>
            <w:r w:rsidRPr="0044783A">
              <w:rPr>
                <w:b/>
                <w:sz w:val="20"/>
              </w:rPr>
              <w:t xml:space="preserve">(colonne </w:t>
            </w:r>
            <w:r>
              <w:rPr>
                <w:b/>
                <w:sz w:val="20"/>
              </w:rPr>
              <w:t>7</w:t>
            </w:r>
            <w:r w:rsidRPr="0044783A">
              <w:rPr>
                <w:b/>
                <w:sz w:val="20"/>
              </w:rPr>
              <w:t xml:space="preserve"> X colonne</w:t>
            </w:r>
            <w:r>
              <w:rPr>
                <w:b/>
                <w:sz w:val="20"/>
              </w:rPr>
              <w:t>8</w:t>
            </w:r>
            <w:r w:rsidRPr="0044783A">
              <w:rPr>
                <w:b/>
                <w:sz w:val="20"/>
              </w:rPr>
              <w:t>)</w:t>
            </w:r>
          </w:p>
        </w:tc>
      </w:tr>
      <w:tr w:rsidR="00B45DFA" w:rsidRPr="0044783A" w:rsidTr="00C82C2F">
        <w:tc>
          <w:tcPr>
            <w:tcW w:w="532" w:type="dxa"/>
            <w:tcBorders>
              <w:top w:val="double" w:sz="6" w:space="0" w:color="auto"/>
              <w:left w:val="double" w:sz="6" w:space="0" w:color="auto"/>
              <w:bottom w:val="double" w:sz="6" w:space="0" w:color="auto"/>
              <w:right w:val="nil"/>
            </w:tcBorders>
            <w:shd w:val="clear" w:color="auto" w:fill="F2F2F2"/>
          </w:tcPr>
          <w:p w:rsidR="00B45DFA" w:rsidRPr="005A593C" w:rsidRDefault="00B45DFA" w:rsidP="00C82C2F">
            <w:pPr>
              <w:rPr>
                <w:bCs/>
                <w:i/>
                <w:iCs/>
                <w:sz w:val="20"/>
              </w:rPr>
            </w:pPr>
            <w:r w:rsidRPr="005A593C">
              <w:rPr>
                <w:bCs/>
                <w:i/>
                <w:iCs/>
                <w:sz w:val="20"/>
              </w:rPr>
              <w:t>1</w:t>
            </w:r>
          </w:p>
        </w:tc>
        <w:tc>
          <w:tcPr>
            <w:tcW w:w="1665"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rPr>
                <w:sz w:val="20"/>
              </w:rPr>
            </w:pPr>
            <w:r w:rsidRPr="005A593C">
              <w:rPr>
                <w:sz w:val="20"/>
              </w:rPr>
              <w:t>Acide zoledronique</w:t>
            </w:r>
          </w:p>
        </w:tc>
        <w:tc>
          <w:tcPr>
            <w:tcW w:w="990"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rPr>
                <w:sz w:val="20"/>
              </w:rPr>
            </w:pPr>
            <w:r w:rsidRPr="005A593C">
              <w:rPr>
                <w:sz w:val="20"/>
              </w:rPr>
              <w:t>4mg</w:t>
            </w:r>
          </w:p>
        </w:tc>
        <w:tc>
          <w:tcPr>
            <w:tcW w:w="1530"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rPr>
                <w:sz w:val="20"/>
              </w:rPr>
            </w:pPr>
            <w:r w:rsidRPr="005A593C">
              <w:rPr>
                <w:sz w:val="20"/>
              </w:rPr>
              <w:t>Flacon</w:t>
            </w:r>
          </w:p>
        </w:tc>
        <w:tc>
          <w:tcPr>
            <w:tcW w:w="1160" w:type="dxa"/>
            <w:tcBorders>
              <w:top w:val="double" w:sz="6" w:space="0" w:color="auto"/>
              <w:left w:val="single" w:sz="6" w:space="0" w:color="auto"/>
              <w:bottom w:val="double" w:sz="6" w:space="0" w:color="auto"/>
              <w:right w:val="double" w:sz="6" w:space="0" w:color="auto"/>
            </w:tcBorders>
            <w:shd w:val="clear" w:color="auto" w:fill="F2F2F2"/>
            <w:vAlign w:val="center"/>
          </w:tcPr>
          <w:p w:rsidR="00B45DFA" w:rsidRPr="005A593C" w:rsidRDefault="00B45DFA" w:rsidP="00C82C2F">
            <w:pPr>
              <w:jc w:val="center"/>
            </w:pPr>
            <w:r w:rsidRPr="005A593C">
              <w:t>1500</w:t>
            </w:r>
          </w:p>
        </w:tc>
        <w:tc>
          <w:tcPr>
            <w:tcW w:w="1276" w:type="dxa"/>
            <w:tcBorders>
              <w:top w:val="double" w:sz="6" w:space="0" w:color="auto"/>
              <w:left w:val="single" w:sz="6" w:space="0" w:color="auto"/>
              <w:bottom w:val="double" w:sz="6" w:space="0" w:color="auto"/>
              <w:right w:val="double" w:sz="6" w:space="0" w:color="auto"/>
            </w:tcBorders>
            <w:shd w:val="clear" w:color="auto" w:fill="F2F2F2"/>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shd w:val="clear" w:color="auto" w:fill="F2F2F2"/>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shd w:val="clear" w:color="auto" w:fill="F2F2F2"/>
          </w:tcPr>
          <w:p w:rsidR="00B45DFA" w:rsidRPr="005A593C" w:rsidRDefault="00B45DFA" w:rsidP="00C82C2F">
            <w:pPr>
              <w:rPr>
                <w:bCs/>
                <w:i/>
                <w:iCs/>
                <w:sz w:val="20"/>
              </w:rPr>
            </w:pPr>
            <w:r w:rsidRPr="005A593C">
              <w:rPr>
                <w:bCs/>
                <w:i/>
                <w:iCs/>
                <w:sz w:val="20"/>
              </w:rPr>
              <w:t>2</w:t>
            </w:r>
          </w:p>
        </w:tc>
        <w:tc>
          <w:tcPr>
            <w:tcW w:w="1665"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rPr>
                <w:sz w:val="20"/>
              </w:rPr>
            </w:pPr>
            <w:r w:rsidRPr="005A593C">
              <w:rPr>
                <w:sz w:val="20"/>
              </w:rPr>
              <w:t>Acide folinique</w:t>
            </w:r>
          </w:p>
        </w:tc>
        <w:tc>
          <w:tcPr>
            <w:tcW w:w="990"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rPr>
                <w:sz w:val="20"/>
              </w:rPr>
            </w:pPr>
            <w:r w:rsidRPr="005A593C">
              <w:rPr>
                <w:sz w:val="20"/>
              </w:rPr>
              <w:t>50mg</w:t>
            </w:r>
          </w:p>
        </w:tc>
        <w:tc>
          <w:tcPr>
            <w:tcW w:w="1530"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rPr>
                <w:sz w:val="20"/>
              </w:rPr>
            </w:pPr>
            <w:r w:rsidRPr="005A593C">
              <w:rPr>
                <w:sz w:val="20"/>
              </w:rPr>
              <w:t>Flacon</w:t>
            </w:r>
          </w:p>
        </w:tc>
        <w:tc>
          <w:tcPr>
            <w:tcW w:w="1160" w:type="dxa"/>
            <w:tcBorders>
              <w:top w:val="double" w:sz="6" w:space="0" w:color="auto"/>
              <w:left w:val="single" w:sz="6" w:space="0" w:color="auto"/>
              <w:bottom w:val="double" w:sz="6" w:space="0" w:color="auto"/>
              <w:right w:val="double" w:sz="6" w:space="0" w:color="auto"/>
            </w:tcBorders>
            <w:shd w:val="clear" w:color="auto" w:fill="F2F2F2"/>
            <w:vAlign w:val="center"/>
          </w:tcPr>
          <w:p w:rsidR="00B45DFA" w:rsidRPr="005A593C" w:rsidRDefault="00B45DFA" w:rsidP="00C82C2F">
            <w:pPr>
              <w:jc w:val="center"/>
            </w:pPr>
            <w:r w:rsidRPr="005A593C">
              <w:t>2000</w:t>
            </w:r>
          </w:p>
        </w:tc>
        <w:tc>
          <w:tcPr>
            <w:tcW w:w="1276" w:type="dxa"/>
            <w:tcBorders>
              <w:top w:val="double" w:sz="6" w:space="0" w:color="auto"/>
              <w:left w:val="single" w:sz="6" w:space="0" w:color="auto"/>
              <w:bottom w:val="double" w:sz="6" w:space="0" w:color="auto"/>
              <w:right w:val="double" w:sz="6" w:space="0" w:color="auto"/>
            </w:tcBorders>
            <w:shd w:val="clear" w:color="auto" w:fill="F2F2F2"/>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shd w:val="clear" w:color="auto" w:fill="F2F2F2"/>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shd w:val="clear" w:color="auto" w:fill="F2F2F2"/>
          </w:tcPr>
          <w:p w:rsidR="00B45DFA" w:rsidRPr="005A593C" w:rsidRDefault="00B45DFA" w:rsidP="00C82C2F">
            <w:pPr>
              <w:rPr>
                <w:bCs/>
                <w:i/>
                <w:iCs/>
                <w:sz w:val="20"/>
              </w:rPr>
            </w:pPr>
            <w:r w:rsidRPr="005A593C">
              <w:rPr>
                <w:bCs/>
                <w:i/>
                <w:iCs/>
                <w:sz w:val="20"/>
              </w:rPr>
              <w:t>3</w:t>
            </w:r>
          </w:p>
        </w:tc>
        <w:tc>
          <w:tcPr>
            <w:tcW w:w="1665"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rPr>
                <w:sz w:val="20"/>
              </w:rPr>
            </w:pPr>
            <w:r w:rsidRPr="005A593C">
              <w:rPr>
                <w:sz w:val="20"/>
              </w:rPr>
              <w:t xml:space="preserve">Chambre implantable </w:t>
            </w:r>
          </w:p>
        </w:tc>
        <w:tc>
          <w:tcPr>
            <w:tcW w:w="990"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rPr>
                <w:sz w:val="20"/>
              </w:rPr>
            </w:pPr>
          </w:p>
        </w:tc>
        <w:tc>
          <w:tcPr>
            <w:tcW w:w="1530"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rPr>
                <w:sz w:val="20"/>
              </w:rPr>
            </w:pPr>
            <w:r w:rsidRPr="005A593C">
              <w:rPr>
                <w:sz w:val="20"/>
              </w:rPr>
              <w:t>Grand format</w:t>
            </w:r>
          </w:p>
        </w:tc>
        <w:tc>
          <w:tcPr>
            <w:tcW w:w="1350"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rPr>
                <w:sz w:val="20"/>
              </w:rPr>
            </w:pPr>
            <w:r w:rsidRPr="005A593C">
              <w:rPr>
                <w:sz w:val="20"/>
              </w:rPr>
              <w:t>Unite</w:t>
            </w:r>
          </w:p>
        </w:tc>
        <w:tc>
          <w:tcPr>
            <w:tcW w:w="1160" w:type="dxa"/>
            <w:tcBorders>
              <w:top w:val="double" w:sz="6" w:space="0" w:color="auto"/>
              <w:left w:val="single" w:sz="6" w:space="0" w:color="auto"/>
              <w:bottom w:val="double" w:sz="6" w:space="0" w:color="auto"/>
              <w:right w:val="double" w:sz="6" w:space="0" w:color="auto"/>
            </w:tcBorders>
            <w:shd w:val="clear" w:color="auto" w:fill="F2F2F2"/>
            <w:vAlign w:val="center"/>
          </w:tcPr>
          <w:p w:rsidR="00B45DFA" w:rsidRPr="005A593C" w:rsidRDefault="00B45DFA" w:rsidP="00C82C2F">
            <w:pPr>
              <w:jc w:val="center"/>
            </w:pPr>
            <w:r w:rsidRPr="005A593C">
              <w:t>200</w:t>
            </w:r>
          </w:p>
        </w:tc>
        <w:tc>
          <w:tcPr>
            <w:tcW w:w="1276" w:type="dxa"/>
            <w:tcBorders>
              <w:top w:val="double" w:sz="6" w:space="0" w:color="auto"/>
              <w:left w:val="single" w:sz="6" w:space="0" w:color="auto"/>
              <w:bottom w:val="double" w:sz="6" w:space="0" w:color="auto"/>
              <w:right w:val="double" w:sz="6" w:space="0" w:color="auto"/>
            </w:tcBorders>
            <w:shd w:val="clear" w:color="auto" w:fill="F2F2F2"/>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shd w:val="clear" w:color="auto" w:fill="F2F2F2"/>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shd w:val="clear" w:color="auto" w:fill="F2F2F2"/>
          </w:tcPr>
          <w:p w:rsidR="00B45DFA" w:rsidRPr="005A593C" w:rsidRDefault="00B45DFA" w:rsidP="00C82C2F">
            <w:pPr>
              <w:rPr>
                <w:bCs/>
                <w:i/>
                <w:iCs/>
                <w:sz w:val="20"/>
              </w:rPr>
            </w:pPr>
            <w:r w:rsidRPr="005A593C">
              <w:rPr>
                <w:bCs/>
                <w:i/>
                <w:iCs/>
                <w:sz w:val="20"/>
              </w:rPr>
              <w:t>4</w:t>
            </w:r>
          </w:p>
        </w:tc>
        <w:tc>
          <w:tcPr>
            <w:tcW w:w="1665"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rPr>
                <w:sz w:val="20"/>
              </w:rPr>
            </w:pPr>
            <w:r w:rsidRPr="005A593C">
              <w:rPr>
                <w:sz w:val="20"/>
              </w:rPr>
              <w:t>Carboplatine</w:t>
            </w:r>
          </w:p>
        </w:tc>
        <w:tc>
          <w:tcPr>
            <w:tcW w:w="990"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rPr>
                <w:sz w:val="20"/>
              </w:rPr>
            </w:pPr>
            <w:r w:rsidRPr="005A593C">
              <w:rPr>
                <w:sz w:val="20"/>
              </w:rPr>
              <w:t xml:space="preserve"> 150mg</w:t>
            </w:r>
          </w:p>
        </w:tc>
        <w:tc>
          <w:tcPr>
            <w:tcW w:w="1530"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rPr>
                <w:sz w:val="20"/>
              </w:rPr>
            </w:pPr>
            <w:r w:rsidRPr="005A593C">
              <w:rPr>
                <w:sz w:val="20"/>
              </w:rPr>
              <w:t>Flacon</w:t>
            </w:r>
          </w:p>
        </w:tc>
        <w:tc>
          <w:tcPr>
            <w:tcW w:w="1160" w:type="dxa"/>
            <w:tcBorders>
              <w:top w:val="double" w:sz="6" w:space="0" w:color="auto"/>
              <w:left w:val="single" w:sz="6" w:space="0" w:color="auto"/>
              <w:bottom w:val="double" w:sz="6" w:space="0" w:color="auto"/>
              <w:right w:val="double" w:sz="6" w:space="0" w:color="auto"/>
            </w:tcBorders>
            <w:shd w:val="clear" w:color="auto" w:fill="F2F2F2"/>
            <w:vAlign w:val="center"/>
          </w:tcPr>
          <w:p w:rsidR="00B45DFA" w:rsidRPr="005A593C" w:rsidRDefault="00B45DFA" w:rsidP="00C82C2F">
            <w:pPr>
              <w:jc w:val="center"/>
            </w:pPr>
            <w:r w:rsidRPr="005A593C">
              <w:t>2500</w:t>
            </w:r>
          </w:p>
        </w:tc>
        <w:tc>
          <w:tcPr>
            <w:tcW w:w="1276" w:type="dxa"/>
            <w:tcBorders>
              <w:top w:val="double" w:sz="6" w:space="0" w:color="auto"/>
              <w:left w:val="single" w:sz="6" w:space="0" w:color="auto"/>
              <w:bottom w:val="double" w:sz="6" w:space="0" w:color="auto"/>
              <w:right w:val="double" w:sz="6" w:space="0" w:color="auto"/>
            </w:tcBorders>
            <w:shd w:val="clear" w:color="auto" w:fill="F2F2F2"/>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shd w:val="clear" w:color="auto" w:fill="F2F2F2"/>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shd w:val="clear" w:color="auto" w:fill="F2F2F2"/>
          </w:tcPr>
          <w:p w:rsidR="00B45DFA" w:rsidRPr="005A593C" w:rsidRDefault="00B45DFA" w:rsidP="00C82C2F">
            <w:pPr>
              <w:rPr>
                <w:bCs/>
                <w:i/>
                <w:iCs/>
                <w:sz w:val="20"/>
              </w:rPr>
            </w:pPr>
            <w:r w:rsidRPr="005A593C">
              <w:rPr>
                <w:bCs/>
                <w:i/>
                <w:iCs/>
                <w:sz w:val="20"/>
              </w:rPr>
              <w:t>5</w:t>
            </w:r>
          </w:p>
        </w:tc>
        <w:tc>
          <w:tcPr>
            <w:tcW w:w="1665"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tabs>
                <w:tab w:val="right" w:pos="1841"/>
              </w:tabs>
              <w:rPr>
                <w:sz w:val="20"/>
              </w:rPr>
            </w:pPr>
            <w:r w:rsidRPr="005A593C">
              <w:rPr>
                <w:sz w:val="20"/>
              </w:rPr>
              <w:t>Cisplatine</w:t>
            </w:r>
            <w:r w:rsidRPr="005A593C">
              <w:rPr>
                <w:sz w:val="20"/>
              </w:rPr>
              <w:tab/>
            </w:r>
          </w:p>
        </w:tc>
        <w:tc>
          <w:tcPr>
            <w:tcW w:w="990"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rPr>
                <w:sz w:val="20"/>
              </w:rPr>
            </w:pPr>
            <w:r w:rsidRPr="005A593C">
              <w:rPr>
                <w:sz w:val="20"/>
              </w:rPr>
              <w:t>50mg</w:t>
            </w:r>
          </w:p>
        </w:tc>
        <w:tc>
          <w:tcPr>
            <w:tcW w:w="1530"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shd w:val="clear" w:color="auto" w:fill="F2F2F2"/>
          </w:tcPr>
          <w:p w:rsidR="00B45DFA" w:rsidRPr="005A593C" w:rsidRDefault="00B45DFA" w:rsidP="00C82C2F">
            <w:pPr>
              <w:rPr>
                <w:sz w:val="20"/>
              </w:rPr>
            </w:pPr>
            <w:r w:rsidRPr="005A593C">
              <w:rPr>
                <w:sz w:val="20"/>
              </w:rPr>
              <w:t>Flacon</w:t>
            </w:r>
          </w:p>
        </w:tc>
        <w:tc>
          <w:tcPr>
            <w:tcW w:w="1160" w:type="dxa"/>
            <w:tcBorders>
              <w:top w:val="double" w:sz="6" w:space="0" w:color="auto"/>
              <w:left w:val="single" w:sz="6" w:space="0" w:color="auto"/>
              <w:bottom w:val="double" w:sz="6" w:space="0" w:color="auto"/>
              <w:right w:val="double" w:sz="6" w:space="0" w:color="auto"/>
            </w:tcBorders>
            <w:shd w:val="clear" w:color="auto" w:fill="F2F2F2"/>
            <w:vAlign w:val="center"/>
          </w:tcPr>
          <w:p w:rsidR="00B45DFA" w:rsidRPr="005A593C" w:rsidRDefault="00B45DFA" w:rsidP="00C82C2F">
            <w:pPr>
              <w:jc w:val="center"/>
            </w:pPr>
            <w:r w:rsidRPr="005A593C">
              <w:t>100</w:t>
            </w:r>
          </w:p>
        </w:tc>
        <w:tc>
          <w:tcPr>
            <w:tcW w:w="1276" w:type="dxa"/>
            <w:tcBorders>
              <w:top w:val="double" w:sz="6" w:space="0" w:color="auto"/>
              <w:left w:val="single" w:sz="6" w:space="0" w:color="auto"/>
              <w:bottom w:val="double" w:sz="6" w:space="0" w:color="auto"/>
              <w:right w:val="double" w:sz="6" w:space="0" w:color="auto"/>
            </w:tcBorders>
            <w:shd w:val="clear" w:color="auto" w:fill="F2F2F2"/>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shd w:val="clear" w:color="auto" w:fill="F2F2F2"/>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6</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Cyclophosphamide</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500mg</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Flacon</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7000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7</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Dialaflot (debimetre)</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Pièce</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unité</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150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8</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Doxorubicine</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10 mg</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Flacon</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600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9</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Docetaxel</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80mg</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Flacon</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1000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10</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Doxorubicine</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50mg</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Flacon</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2 000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11</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Etoposide</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 xml:space="preserve"> 100mg</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 xml:space="preserve">Flacon </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1500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12</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Fluoro uracile</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500mg</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Ampoule</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25 000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13</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Gemcitabine</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 xml:space="preserve"> 1000mg</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 xml:space="preserve">Flacon </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1500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14</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Irinotecan</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100mg</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Flacon</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1 000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15</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Irinotecan</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40mg</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Flacon</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100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16</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Vincristine</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1mg</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 xml:space="preserve">Injectable </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Ampoule 2ml</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300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8414DE" w:rsidRDefault="00B45DFA" w:rsidP="00C82C2F">
            <w:pPr>
              <w:rPr>
                <w:rFonts w:ascii="Tahoma" w:hAnsi="Tahoma" w:cs="Tahoma"/>
                <w:color w:val="FF0000"/>
                <w:sz w:val="20"/>
              </w:rPr>
            </w:pPr>
            <w:r w:rsidRPr="005A593C">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17</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Methotrexate</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50mg</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Flacon</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1000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18</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Naloxone</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 xml:space="preserve"> 0,4mg</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flacon</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2 00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highlight w:val="green"/>
              </w:rPr>
            </w:pPr>
            <w:r w:rsidRPr="005A593C">
              <w:rPr>
                <w:bCs/>
                <w:i/>
                <w:iCs/>
                <w:sz w:val="20"/>
              </w:rPr>
              <w:lastRenderedPageBreak/>
              <w:t>19</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 xml:space="preserve">Oxaliplatine </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50mg</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Flacon 25 ml</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3500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20</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Paclitaxel</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300mg</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Flacon</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2000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21</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 xml:space="preserve">Paclitaxel </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150mg</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Flacon</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600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22</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 xml:space="preserve">Sulfate de LI morphine </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 xml:space="preserve">10mg </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Ampoule/1ml</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50 000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23</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Sulfate de morphine LI</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 xml:space="preserve">10mg  </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Comprimé</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Boite 56</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100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24</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Sulfate de  morphine LP</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30mg</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Comprimé</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Boite 100</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500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25</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Sulfate de morphine LP</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60mg</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Comprimé</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Boite 100</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500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26</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Vinblastine</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 xml:space="preserve"> 10mg</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Flacon</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200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532" w:type="dxa"/>
            <w:tcBorders>
              <w:top w:val="double" w:sz="6" w:space="0" w:color="auto"/>
              <w:left w:val="double" w:sz="6" w:space="0" w:color="auto"/>
              <w:bottom w:val="double" w:sz="6" w:space="0" w:color="auto"/>
              <w:right w:val="nil"/>
            </w:tcBorders>
          </w:tcPr>
          <w:p w:rsidR="00B45DFA" w:rsidRPr="005A593C" w:rsidRDefault="00B45DFA" w:rsidP="00C82C2F">
            <w:pPr>
              <w:rPr>
                <w:bCs/>
                <w:i/>
                <w:iCs/>
                <w:sz w:val="20"/>
              </w:rPr>
            </w:pPr>
            <w:r w:rsidRPr="005A593C">
              <w:rPr>
                <w:bCs/>
                <w:i/>
                <w:iCs/>
                <w:sz w:val="20"/>
              </w:rPr>
              <w:t>27</w:t>
            </w:r>
          </w:p>
        </w:tc>
        <w:tc>
          <w:tcPr>
            <w:tcW w:w="1665"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Vinorelbine</w:t>
            </w:r>
          </w:p>
        </w:tc>
        <w:tc>
          <w:tcPr>
            <w:tcW w:w="99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50mg</w:t>
            </w:r>
          </w:p>
        </w:tc>
        <w:tc>
          <w:tcPr>
            <w:tcW w:w="153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Injectable</w:t>
            </w:r>
          </w:p>
        </w:tc>
        <w:tc>
          <w:tcPr>
            <w:tcW w:w="1350" w:type="dxa"/>
            <w:tcBorders>
              <w:top w:val="double" w:sz="6" w:space="0" w:color="auto"/>
              <w:left w:val="single" w:sz="6" w:space="0" w:color="auto"/>
              <w:bottom w:val="double" w:sz="6" w:space="0" w:color="auto"/>
              <w:right w:val="nil"/>
            </w:tcBorders>
          </w:tcPr>
          <w:p w:rsidR="00B45DFA" w:rsidRPr="005A593C" w:rsidRDefault="00B45DFA" w:rsidP="00C82C2F">
            <w:pPr>
              <w:rPr>
                <w:sz w:val="20"/>
              </w:rPr>
            </w:pPr>
            <w:r w:rsidRPr="005A593C">
              <w:rPr>
                <w:sz w:val="20"/>
              </w:rPr>
              <w:t>Flacon</w:t>
            </w:r>
          </w:p>
        </w:tc>
        <w:tc>
          <w:tcPr>
            <w:tcW w:w="1160" w:type="dxa"/>
            <w:tcBorders>
              <w:top w:val="double" w:sz="6" w:space="0" w:color="auto"/>
              <w:left w:val="single" w:sz="6" w:space="0" w:color="auto"/>
              <w:bottom w:val="double" w:sz="6" w:space="0" w:color="auto"/>
              <w:right w:val="double" w:sz="6" w:space="0" w:color="auto"/>
            </w:tcBorders>
            <w:vAlign w:val="center"/>
          </w:tcPr>
          <w:p w:rsidR="00B45DFA" w:rsidRPr="005A593C" w:rsidRDefault="00B45DFA" w:rsidP="00C82C2F">
            <w:pPr>
              <w:jc w:val="center"/>
            </w:pPr>
            <w:r w:rsidRPr="005A593C">
              <w:t>200</w:t>
            </w:r>
          </w:p>
        </w:tc>
        <w:tc>
          <w:tcPr>
            <w:tcW w:w="1276" w:type="dxa"/>
            <w:tcBorders>
              <w:top w:val="double" w:sz="6" w:space="0" w:color="auto"/>
              <w:left w:val="single" w:sz="6" w:space="0" w:color="auto"/>
              <w:bottom w:val="double" w:sz="6" w:space="0" w:color="auto"/>
              <w:right w:val="double" w:sz="6" w:space="0" w:color="auto"/>
            </w:tcBorders>
            <w:vAlign w:val="bottom"/>
          </w:tcPr>
          <w:p w:rsidR="00B45DFA" w:rsidRPr="005A593C" w:rsidRDefault="00B45DFA" w:rsidP="00C82C2F">
            <w:pPr>
              <w:rPr>
                <w:rFonts w:ascii="Tahoma" w:hAnsi="Tahoma" w:cs="Tahoma"/>
                <w:sz w:val="20"/>
              </w:rPr>
            </w:pPr>
            <w:r w:rsidRPr="005A593C">
              <w:rPr>
                <w:rFonts w:ascii="Tahoma" w:hAnsi="Tahoma" w:cs="Tahoma"/>
                <w:sz w:val="20"/>
              </w:rPr>
              <w:t>[à compléter]</w:t>
            </w:r>
          </w:p>
        </w:tc>
        <w:tc>
          <w:tcPr>
            <w:tcW w:w="1417" w:type="dxa"/>
            <w:tcBorders>
              <w:top w:val="double" w:sz="6" w:space="0" w:color="auto"/>
              <w:left w:val="single" w:sz="6" w:space="0" w:color="auto"/>
              <w:bottom w:val="double" w:sz="6" w:space="0" w:color="auto"/>
              <w:right w:val="double" w:sz="6" w:space="0" w:color="auto"/>
            </w:tcBorders>
            <w:vAlign w:val="bottom"/>
          </w:tcPr>
          <w:p w:rsidR="00B45DFA" w:rsidRPr="0044783A" w:rsidRDefault="00B45DFA" w:rsidP="00C82C2F">
            <w:pPr>
              <w:rPr>
                <w:rFonts w:ascii="Tahoma" w:hAnsi="Tahoma" w:cs="Tahoma"/>
                <w:sz w:val="20"/>
              </w:rPr>
            </w:pPr>
            <w:r w:rsidRPr="0044783A">
              <w:rPr>
                <w:rFonts w:ascii="Tahoma" w:hAnsi="Tahoma" w:cs="Tahoma"/>
                <w:sz w:val="20"/>
              </w:rPr>
              <w:t>[à compléter]</w:t>
            </w:r>
          </w:p>
        </w:tc>
      </w:tr>
      <w:tr w:rsidR="00B45DFA" w:rsidRPr="0044783A" w:rsidTr="00C82C2F">
        <w:tc>
          <w:tcPr>
            <w:tcW w:w="4717" w:type="dxa"/>
            <w:gridSpan w:val="4"/>
            <w:tcBorders>
              <w:top w:val="double" w:sz="6" w:space="0" w:color="auto"/>
              <w:left w:val="single" w:sz="6" w:space="0" w:color="auto"/>
              <w:bottom w:val="double" w:sz="6" w:space="0" w:color="auto"/>
              <w:right w:val="double" w:sz="6" w:space="0" w:color="auto"/>
            </w:tcBorders>
            <w:shd w:val="clear" w:color="auto" w:fill="C6D9F1"/>
          </w:tcPr>
          <w:p w:rsidR="00B45DFA" w:rsidRPr="0044783A" w:rsidRDefault="00B45DFA" w:rsidP="00C82C2F">
            <w:pPr>
              <w:suppressAutoHyphens/>
              <w:jc w:val="both"/>
              <w:rPr>
                <w:sz w:val="20"/>
              </w:rPr>
            </w:pPr>
          </w:p>
        </w:tc>
        <w:tc>
          <w:tcPr>
            <w:tcW w:w="5203" w:type="dxa"/>
            <w:gridSpan w:val="4"/>
            <w:tcBorders>
              <w:top w:val="double" w:sz="6" w:space="0" w:color="auto"/>
              <w:left w:val="single" w:sz="6" w:space="0" w:color="auto"/>
              <w:bottom w:val="double" w:sz="6" w:space="0" w:color="auto"/>
              <w:right w:val="double" w:sz="6" w:space="0" w:color="auto"/>
            </w:tcBorders>
            <w:shd w:val="clear" w:color="auto" w:fill="C6D9F1"/>
          </w:tcPr>
          <w:p w:rsidR="00B45DFA" w:rsidRPr="0044783A" w:rsidRDefault="00B45DFA" w:rsidP="00C82C2F">
            <w:pPr>
              <w:suppressAutoHyphens/>
              <w:jc w:val="center"/>
              <w:rPr>
                <w:bCs/>
                <w:i/>
                <w:iCs/>
                <w:sz w:val="20"/>
              </w:rPr>
            </w:pPr>
            <w:r>
              <w:rPr>
                <w:bCs/>
                <w:i/>
                <w:iCs/>
                <w:sz w:val="20"/>
              </w:rPr>
              <w:t>Prix Total</w:t>
            </w:r>
          </w:p>
        </w:tc>
      </w:tr>
    </w:tbl>
    <w:p w:rsidR="00B45DFA" w:rsidRDefault="00B45DFA" w:rsidP="00B45DFA">
      <w:pPr>
        <w:spacing w:after="200"/>
        <w:jc w:val="both"/>
        <w:rPr>
          <w:szCs w:val="24"/>
        </w:rPr>
      </w:pPr>
    </w:p>
    <w:p w:rsidR="00B45DFA" w:rsidRDefault="00B45DFA" w:rsidP="00B45DFA">
      <w:pPr>
        <w:rPr>
          <w:i/>
          <w:szCs w:val="24"/>
        </w:rPr>
      </w:pPr>
      <w:r w:rsidRPr="00C01864">
        <w:rPr>
          <w:szCs w:val="24"/>
        </w:rPr>
        <w:t xml:space="preserve">Nom du Soumissionnaire </w:t>
      </w:r>
      <w:r w:rsidRPr="00EA3B32">
        <w:rPr>
          <w:i/>
          <w:szCs w:val="24"/>
        </w:rPr>
        <w:t>[Insérer le nom du Soumissionnaire]</w:t>
      </w:r>
      <w:r>
        <w:rPr>
          <w:i/>
          <w:szCs w:val="24"/>
        </w:rPr>
        <w:t xml:space="preserve"> </w:t>
      </w:r>
      <w:r>
        <w:rPr>
          <w:szCs w:val="24"/>
        </w:rPr>
        <w:t xml:space="preserve">Signature </w:t>
      </w:r>
      <w:r w:rsidRPr="00EA3B32">
        <w:rPr>
          <w:i/>
          <w:szCs w:val="24"/>
        </w:rPr>
        <w:t>[Insérer signature</w:t>
      </w:r>
    </w:p>
    <w:p w:rsidR="00B45DFA" w:rsidRDefault="00B45DFA" w:rsidP="00B45DFA">
      <w:pPr>
        <w:suppressAutoHyphens/>
        <w:jc w:val="both"/>
        <w:rPr>
          <w:rFonts w:ascii="Verdana" w:hAnsi="Verdana"/>
          <w:sz w:val="22"/>
          <w:szCs w:val="22"/>
        </w:rPr>
      </w:pPr>
    </w:p>
    <w:p w:rsidR="00B45DFA" w:rsidRDefault="00B45DFA" w:rsidP="00B45DFA">
      <w:pPr>
        <w:spacing w:after="160" w:line="259" w:lineRule="auto"/>
        <w:rPr>
          <w:rFonts w:eastAsia="Calibri"/>
          <w:szCs w:val="24"/>
          <w:lang w:eastAsia="en-US"/>
        </w:rPr>
      </w:pPr>
    </w:p>
    <w:p w:rsidR="00B45DFA" w:rsidRDefault="00B45DFA" w:rsidP="00B45DFA">
      <w:pPr>
        <w:spacing w:after="160" w:line="259" w:lineRule="auto"/>
        <w:rPr>
          <w:rFonts w:eastAsia="Calibri"/>
          <w:szCs w:val="24"/>
          <w:lang w:eastAsia="en-US"/>
        </w:rPr>
      </w:pPr>
    </w:p>
    <w:p w:rsidR="00B45DFA" w:rsidRDefault="00B45DFA" w:rsidP="00B45DFA">
      <w:pPr>
        <w:spacing w:after="160" w:line="259" w:lineRule="auto"/>
        <w:rPr>
          <w:rFonts w:eastAsia="Calibri"/>
          <w:szCs w:val="24"/>
          <w:lang w:eastAsia="en-US"/>
        </w:rPr>
      </w:pPr>
    </w:p>
    <w:p w:rsidR="00B45DFA" w:rsidRPr="002F1986" w:rsidRDefault="00B45DFA" w:rsidP="00B45DFA">
      <w:pPr>
        <w:spacing w:after="160" w:line="259" w:lineRule="auto"/>
        <w:ind w:left="705" w:hanging="705"/>
        <w:jc w:val="both"/>
        <w:rPr>
          <w:rFonts w:eastAsia="Calibri"/>
          <w:szCs w:val="24"/>
          <w:lang w:eastAsia="en-US"/>
        </w:rPr>
      </w:pPr>
    </w:p>
    <w:p w:rsidR="00B45DFA" w:rsidRPr="002F1986" w:rsidRDefault="00B45DFA" w:rsidP="00B45DFA">
      <w:pPr>
        <w:spacing w:after="160" w:line="259" w:lineRule="auto"/>
        <w:ind w:left="705" w:hanging="705"/>
        <w:jc w:val="both"/>
        <w:rPr>
          <w:rFonts w:eastAsia="Calibri"/>
          <w:szCs w:val="24"/>
          <w:lang w:eastAsia="en-US"/>
        </w:rPr>
      </w:pPr>
    </w:p>
    <w:p w:rsidR="00B45DFA" w:rsidRPr="002F1986" w:rsidRDefault="00B45DFA" w:rsidP="00B45DFA">
      <w:pPr>
        <w:spacing w:after="160" w:line="259" w:lineRule="auto"/>
        <w:ind w:left="705" w:hanging="705"/>
        <w:jc w:val="both"/>
        <w:rPr>
          <w:rFonts w:eastAsia="Calibri"/>
          <w:szCs w:val="24"/>
          <w:lang w:eastAsia="en-US"/>
        </w:rPr>
      </w:pPr>
    </w:p>
    <w:p w:rsidR="009111D7" w:rsidRDefault="00E04828"/>
    <w:sectPr w:rsidR="009111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D88" w:rsidRDefault="00D23D88" w:rsidP="00B45DFA">
      <w:r>
        <w:separator/>
      </w:r>
    </w:p>
  </w:endnote>
  <w:endnote w:type="continuationSeparator" w:id="0">
    <w:p w:rsidR="00D23D88" w:rsidRDefault="00D23D88" w:rsidP="00B4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D88" w:rsidRDefault="00D23D88" w:rsidP="00B45DFA">
      <w:r>
        <w:separator/>
      </w:r>
    </w:p>
  </w:footnote>
  <w:footnote w:type="continuationSeparator" w:id="0">
    <w:p w:rsidR="00D23D88" w:rsidRDefault="00D23D88" w:rsidP="00B45DFA">
      <w:r>
        <w:continuationSeparator/>
      </w:r>
    </w:p>
  </w:footnote>
  <w:footnote w:id="1">
    <w:p w:rsidR="00B45DFA" w:rsidRPr="00D03EE9" w:rsidRDefault="00B45DFA" w:rsidP="00B45DFA">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95D98"/>
    <w:multiLevelType w:val="hybridMultilevel"/>
    <w:tmpl w:val="569621D2"/>
    <w:lvl w:ilvl="0" w:tplc="05D8AF66">
      <w:start w:val="16"/>
      <w:numFmt w:val="bullet"/>
      <w:lvlText w:val="-"/>
      <w:lvlJc w:val="left"/>
      <w:pPr>
        <w:ind w:left="405" w:hanging="360"/>
      </w:pPr>
      <w:rPr>
        <w:rFonts w:ascii="Calibri" w:eastAsia="Calibri" w:hAnsi="Calibri" w:cs="Times New Roman" w:hint="default"/>
        <w:sz w:val="22"/>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2">
    <w:nsid w:val="41576288"/>
    <w:multiLevelType w:val="hybridMultilevel"/>
    <w:tmpl w:val="CFC2E410"/>
    <w:lvl w:ilvl="0" w:tplc="27CE8828">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6E50E5A"/>
    <w:multiLevelType w:val="hybridMultilevel"/>
    <w:tmpl w:val="754430F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DFA"/>
    <w:rsid w:val="00B45DFA"/>
    <w:rsid w:val="00D23D88"/>
    <w:rsid w:val="00D72077"/>
    <w:rsid w:val="00E04828"/>
    <w:rsid w:val="00E43D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0E17D-084E-4D9E-841C-BA52C958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DFA"/>
    <w:pPr>
      <w:spacing w:after="0" w:line="240" w:lineRule="auto"/>
    </w:pPr>
    <w:rPr>
      <w:rFonts w:ascii="Times New Roman" w:eastAsia="Times New Roman" w:hAnsi="Times New Roman" w:cs="Times New Roman"/>
      <w:sz w:val="24"/>
      <w:szCs w:val="20"/>
      <w:lang w:eastAsia="fr-FR"/>
    </w:rPr>
  </w:style>
  <w:style w:type="paragraph" w:styleId="Titre3">
    <w:name w:val="heading 3"/>
    <w:aliases w:val="Section Header3"/>
    <w:basedOn w:val="Normal"/>
    <w:next w:val="Normal"/>
    <w:link w:val="Titre3Car"/>
    <w:uiPriority w:val="9"/>
    <w:qFormat/>
    <w:rsid w:val="00B45DFA"/>
    <w:pPr>
      <w:tabs>
        <w:tab w:val="num" w:pos="432"/>
      </w:tabs>
      <w:spacing w:after="200"/>
      <w:ind w:left="432" w:hanging="432"/>
      <w:jc w:val="both"/>
      <w:outlineLvl w:val="2"/>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B45DFA"/>
    <w:pPr>
      <w:jc w:val="both"/>
    </w:pPr>
    <w:rPr>
      <w:sz w:val="20"/>
      <w:lang w:val="es-ES_tradnl"/>
    </w:rPr>
  </w:style>
  <w:style w:type="character" w:customStyle="1" w:styleId="NotedebasdepageCar">
    <w:name w:val="Note de bas de page Car"/>
    <w:basedOn w:val="Policepardfaut"/>
    <w:link w:val="Notedebasdepage"/>
    <w:semiHidden/>
    <w:rsid w:val="00B45DFA"/>
    <w:rPr>
      <w:rFonts w:ascii="Times New Roman" w:eastAsia="Times New Roman" w:hAnsi="Times New Roman" w:cs="Times New Roman"/>
      <w:sz w:val="20"/>
      <w:szCs w:val="20"/>
      <w:lang w:val="es-ES_tradnl" w:eastAsia="fr-FR"/>
    </w:rPr>
  </w:style>
  <w:style w:type="character" w:styleId="Appelnotedebasdep">
    <w:name w:val="footnote reference"/>
    <w:semiHidden/>
    <w:rsid w:val="00B45DFA"/>
    <w:rPr>
      <w:rFonts w:cs="Times New Roman"/>
      <w:vertAlign w:val="superscript"/>
    </w:rPr>
  </w:style>
  <w:style w:type="character" w:customStyle="1" w:styleId="Titre3Car">
    <w:name w:val="Titre 3 Car"/>
    <w:aliases w:val="Section Header3 Car"/>
    <w:basedOn w:val="Policepardfaut"/>
    <w:link w:val="Titre3"/>
    <w:uiPriority w:val="9"/>
    <w:rsid w:val="00B45DFA"/>
    <w:rPr>
      <w:rFonts w:ascii="Times New Roman" w:eastAsia="Times New Roman" w:hAnsi="Times New Roman" w:cs="Times New Roman"/>
      <w:sz w:val="24"/>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pmmali.com" TargetMode="External"/><Relationship Id="rId4" Type="http://schemas.openxmlformats.org/officeDocument/2006/relationships/webSettings" Target="webSettings.xml"/><Relationship Id="rId9" Type="http://schemas.openxmlformats.org/officeDocument/2006/relationships/hyperlink" Target="mailto:spdg@ppm-mali.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1773</Words>
  <Characters>9752</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appor-secre</dc:creator>
  <cp:keywords/>
  <dc:description/>
  <cp:lastModifiedBy>appor-secre</cp:lastModifiedBy>
  <cp:revision>2</cp:revision>
  <dcterms:created xsi:type="dcterms:W3CDTF">2022-03-14T10:33:00Z</dcterms:created>
  <dcterms:modified xsi:type="dcterms:W3CDTF">2022-03-14T10:33:00Z</dcterms:modified>
</cp:coreProperties>
</file>