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FBB1" w14:textId="77777777" w:rsidR="00BA2FAA" w:rsidRPr="001B5DFE" w:rsidRDefault="00BA2FAA" w:rsidP="00BA2FAA">
      <w:pPr>
        <w:tabs>
          <w:tab w:val="left" w:pos="3556"/>
        </w:tabs>
        <w:spacing w:before="60" w:line="240" w:lineRule="atLeast"/>
        <w:rPr>
          <w:rFonts w:ascii="Garamond" w:hAnsi="Garamond"/>
          <w:sz w:val="22"/>
        </w:rPr>
      </w:pPr>
      <w:r w:rsidRPr="001B5DFE">
        <w:rPr>
          <w:rFonts w:ascii="Garamond" w:hAnsi="Garamond"/>
          <w:sz w:val="22"/>
        </w:rPr>
        <w:t>MINISTERE DE L’ENSEIGNEMENT</w:t>
      </w:r>
      <w:r w:rsidRPr="001B5DFE">
        <w:rPr>
          <w:rFonts w:ascii="Garamond" w:hAnsi="Garamond"/>
          <w:sz w:val="22"/>
        </w:rPr>
        <w:tab/>
        <w:t>SUPERIEUR</w:t>
      </w:r>
      <w:r w:rsidRPr="001B5DFE">
        <w:rPr>
          <w:rFonts w:ascii="Garamond" w:hAnsi="Garamond"/>
          <w:sz w:val="22"/>
        </w:rPr>
        <w:tab/>
      </w:r>
      <w:r w:rsidRPr="001B5DFE">
        <w:rPr>
          <w:rFonts w:ascii="Garamond" w:hAnsi="Garamond"/>
          <w:sz w:val="22"/>
        </w:rPr>
        <w:tab/>
        <w:t xml:space="preserve"> </w:t>
      </w:r>
      <w:r>
        <w:rPr>
          <w:rFonts w:ascii="Garamond" w:hAnsi="Garamond"/>
          <w:sz w:val="22"/>
        </w:rPr>
        <w:t xml:space="preserve">        </w:t>
      </w:r>
      <w:r w:rsidRPr="001B5DFE">
        <w:rPr>
          <w:rFonts w:ascii="Garamond" w:hAnsi="Garamond"/>
          <w:sz w:val="22"/>
        </w:rPr>
        <w:t>REPUBLIQUE DU MALI</w:t>
      </w:r>
    </w:p>
    <w:p w14:paraId="0DD876A4" w14:textId="77777777" w:rsidR="00BA2FAA" w:rsidRPr="001B5DFE" w:rsidRDefault="00BA2FAA" w:rsidP="00BA2FAA">
      <w:pPr>
        <w:tabs>
          <w:tab w:val="left" w:pos="3556"/>
        </w:tabs>
        <w:spacing w:before="60" w:line="240" w:lineRule="atLeast"/>
        <w:rPr>
          <w:rFonts w:ascii="Garamond" w:hAnsi="Garamond"/>
          <w:sz w:val="22"/>
        </w:rPr>
      </w:pPr>
      <w:r w:rsidRPr="001B5DFE">
        <w:rPr>
          <w:rFonts w:ascii="Garamond" w:hAnsi="Garamond"/>
          <w:sz w:val="22"/>
        </w:rPr>
        <w:t xml:space="preserve">ET DE </w:t>
      </w:r>
      <w:r>
        <w:rPr>
          <w:rFonts w:ascii="Garamond" w:hAnsi="Garamond"/>
          <w:sz w:val="22"/>
        </w:rPr>
        <w:t xml:space="preserve">LA </w:t>
      </w:r>
      <w:r w:rsidRPr="001B5DFE">
        <w:rPr>
          <w:rFonts w:ascii="Garamond" w:hAnsi="Garamond"/>
          <w:sz w:val="22"/>
        </w:rPr>
        <w:t>RECHERCHE SCIENTIFIQUE                                  UN PEUPLE – UN BUT – UNE FOI</w:t>
      </w:r>
    </w:p>
    <w:p w14:paraId="444C340A" w14:textId="77777777" w:rsidR="00BA2FAA" w:rsidRPr="001B5DFE" w:rsidRDefault="00BA2FAA" w:rsidP="00BA2FAA">
      <w:pPr>
        <w:tabs>
          <w:tab w:val="left" w:pos="3556"/>
        </w:tabs>
        <w:spacing w:before="60" w:line="240" w:lineRule="atLeast"/>
        <w:rPr>
          <w:rFonts w:ascii="Garamond" w:hAnsi="Garamond"/>
        </w:rPr>
      </w:pPr>
      <w:r w:rsidRPr="001B5DFE">
        <w:rPr>
          <w:rFonts w:ascii="Garamond" w:hAnsi="Garamond"/>
        </w:rPr>
        <w:t xml:space="preserve">  --------------------              ---------------------                                                                                  </w:t>
      </w:r>
    </w:p>
    <w:p w14:paraId="3A7541E5" w14:textId="77777777" w:rsidR="00BA2FAA" w:rsidRPr="001B5DFE" w:rsidRDefault="00BA2FAA" w:rsidP="00BA2FAA">
      <w:pPr>
        <w:rPr>
          <w:rFonts w:ascii="Garamond" w:hAnsi="Garamond"/>
        </w:rPr>
      </w:pPr>
      <w:r>
        <w:rPr>
          <w:rFonts w:ascii="Garamond" w:hAnsi="Garamond"/>
        </w:rPr>
        <w:t>INSTITUT</w:t>
      </w:r>
      <w:r w:rsidRPr="001B5DFE">
        <w:rPr>
          <w:rFonts w:ascii="Garamond" w:hAnsi="Garamond"/>
        </w:rPr>
        <w:t xml:space="preserve"> NATIONAL DE FORMATION EN </w:t>
      </w:r>
    </w:p>
    <w:p w14:paraId="3F6DB500" w14:textId="77777777" w:rsidR="00BA2FAA" w:rsidRPr="001B5DFE" w:rsidRDefault="00BA2FAA" w:rsidP="00BA2FAA">
      <w:pPr>
        <w:rPr>
          <w:rFonts w:ascii="Garamond" w:hAnsi="Garamond"/>
        </w:rPr>
      </w:pPr>
      <w:r w:rsidRPr="001B5DFE">
        <w:rPr>
          <w:rFonts w:ascii="Garamond" w:hAnsi="Garamond"/>
        </w:rPr>
        <w:t xml:space="preserve">SCIENCES DE LA SANTE </w:t>
      </w:r>
    </w:p>
    <w:p w14:paraId="6EC58D6D" w14:textId="77777777" w:rsidR="00BA2FAA" w:rsidRPr="001B5DFE" w:rsidRDefault="00BA2FAA" w:rsidP="00BA2FAA">
      <w:pPr>
        <w:tabs>
          <w:tab w:val="left" w:pos="3556"/>
        </w:tabs>
        <w:rPr>
          <w:rFonts w:ascii="Garamond" w:hAnsi="Garamond"/>
        </w:rPr>
      </w:pPr>
      <w:r w:rsidRPr="001B5DFE">
        <w:rPr>
          <w:rFonts w:ascii="Garamond" w:hAnsi="Garamond"/>
        </w:rPr>
        <w:t xml:space="preserve">    ---------------------</w:t>
      </w:r>
    </w:p>
    <w:p w14:paraId="2BCF72EE" w14:textId="77777777" w:rsidR="00BA2FAA" w:rsidRPr="001B5DFE" w:rsidRDefault="00BA2FAA" w:rsidP="00BA2FAA">
      <w:pPr>
        <w:tabs>
          <w:tab w:val="left" w:pos="3556"/>
        </w:tabs>
        <w:rPr>
          <w:rFonts w:ascii="Garamond" w:hAnsi="Garamond"/>
        </w:rPr>
      </w:pPr>
    </w:p>
    <w:p w14:paraId="5078D054" w14:textId="77777777" w:rsidR="00BA2FAA" w:rsidRPr="00D45C2F" w:rsidRDefault="00BA2FAA" w:rsidP="00BA2FAA">
      <w:pPr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D45C2F">
        <w:rPr>
          <w:rFonts w:ascii="Arial Black" w:hAnsi="Arial Black"/>
          <w:b/>
          <w:color w:val="0070C0"/>
          <w:sz w:val="32"/>
          <w:szCs w:val="32"/>
        </w:rPr>
        <w:t xml:space="preserve">AVIS D’APPEL D’OFFRES OUVERT </w:t>
      </w:r>
    </w:p>
    <w:p w14:paraId="45DD0560" w14:textId="77777777" w:rsidR="00BA2FAA" w:rsidRPr="00D45C2F" w:rsidRDefault="00BA2FAA" w:rsidP="00BA2FAA">
      <w:pPr>
        <w:pStyle w:val="Notedebasdepage"/>
        <w:tabs>
          <w:tab w:val="left" w:pos="720"/>
        </w:tabs>
        <w:jc w:val="center"/>
        <w:rPr>
          <w:sz w:val="22"/>
        </w:rPr>
      </w:pPr>
    </w:p>
    <w:p w14:paraId="4B240C11" w14:textId="77777777" w:rsidR="00BA2FAA" w:rsidRPr="00FF71E9" w:rsidRDefault="00BA2FAA" w:rsidP="00BA2FAA">
      <w:pPr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DAOO N° …0665-T/2021</w:t>
      </w:r>
    </w:p>
    <w:p w14:paraId="40EFB9FF" w14:textId="77777777" w:rsidR="00BA2FAA" w:rsidRDefault="00BA2FAA" w:rsidP="00BA2FAA">
      <w:pPr>
        <w:jc w:val="center"/>
        <w:rPr>
          <w:b/>
          <w:bCs/>
          <w:i/>
          <w:iCs/>
        </w:rPr>
      </w:pPr>
    </w:p>
    <w:p w14:paraId="47BF52F6" w14:textId="77777777" w:rsidR="00BA2FAA" w:rsidRDefault="00BA2FAA" w:rsidP="00BA2FAA">
      <w:pPr>
        <w:jc w:val="center"/>
        <w:rPr>
          <w:b/>
          <w:bCs/>
          <w:i/>
          <w:iCs/>
        </w:rPr>
      </w:pPr>
    </w:p>
    <w:p w14:paraId="11DE93B7" w14:textId="77777777" w:rsidR="00BA2FAA" w:rsidRDefault="00BA2FAA" w:rsidP="00BA2FAA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jc w:val="left"/>
        <w:textAlignment w:val="auto"/>
      </w:pPr>
      <w:r w:rsidRPr="00875D83">
        <w:t>Cet Avis d’appel d’offres fait suite à l’Avis Général de Passation des Marchés paru</w:t>
      </w:r>
      <w:r w:rsidRPr="00DE175F">
        <w:t xml:space="preserve"> dans le quotidien </w:t>
      </w:r>
      <w:r>
        <w:rPr>
          <w:b/>
        </w:rPr>
        <w:t>………………………………………………………………………..</w:t>
      </w:r>
      <w:r>
        <w:t>.</w:t>
      </w:r>
    </w:p>
    <w:p w14:paraId="22D59FFC" w14:textId="77777777" w:rsidR="00BA2FAA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>
        <w:t>L’</w:t>
      </w:r>
      <w:r w:rsidRPr="00FF71E9">
        <w:t>institut national de f</w:t>
      </w:r>
      <w:r>
        <w:t xml:space="preserve">ormation en sciences de la </w:t>
      </w:r>
      <w:proofErr w:type="gramStart"/>
      <w:r>
        <w:t>santé</w:t>
      </w:r>
      <w:r w:rsidRPr="006451CA">
        <w:rPr>
          <w:bCs/>
          <w:iCs/>
        </w:rPr>
        <w:t>(</w:t>
      </w:r>
      <w:proofErr w:type="gramEnd"/>
      <w:r w:rsidRPr="006451CA">
        <w:rPr>
          <w:bCs/>
          <w:iCs/>
        </w:rPr>
        <w:t>INFSS)</w:t>
      </w:r>
      <w:r w:rsidRPr="006451CA">
        <w:rPr>
          <w:iCs/>
        </w:rPr>
        <w:t xml:space="preserve">dispose de </w:t>
      </w:r>
      <w:r w:rsidRPr="00DE175F">
        <w:t xml:space="preserve">fonds sur le budget de l’État, afin de financer </w:t>
      </w:r>
      <w:r w:rsidRPr="006451CA">
        <w:rPr>
          <w:i/>
          <w:iCs/>
        </w:rPr>
        <w:t xml:space="preserve">le projet </w:t>
      </w:r>
      <w:r w:rsidRPr="00DE175F">
        <w:t xml:space="preserve">relatif aux travaux de construction </w:t>
      </w:r>
      <w:r>
        <w:t>de locaux afin de loger son annexe de Ségou et</w:t>
      </w:r>
      <w:r w:rsidRPr="00DE175F">
        <w:t xml:space="preserve"> à l’intention d’utiliser une partie de ces fonds pour effectuer des paiements au titre du Marché.</w:t>
      </w:r>
    </w:p>
    <w:p w14:paraId="78674B7A" w14:textId="77777777" w:rsidR="00BA2FAA" w:rsidRDefault="00BA2FAA" w:rsidP="00BA2FAA">
      <w:pPr>
        <w:pStyle w:val="Paragraphedeliste"/>
        <w:spacing w:after="200"/>
        <w:ind w:left="284"/>
      </w:pPr>
    </w:p>
    <w:p w14:paraId="2DC78BB8" w14:textId="77777777" w:rsidR="00BA2FAA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 w:rsidRPr="001128A5">
        <w:t>L’</w:t>
      </w:r>
      <w:r w:rsidRPr="00FF71E9">
        <w:t>institut national de f</w:t>
      </w:r>
      <w:r>
        <w:t xml:space="preserve">ormation en sciences de la </w:t>
      </w:r>
      <w:proofErr w:type="gramStart"/>
      <w:r>
        <w:t>santé</w:t>
      </w:r>
      <w:r w:rsidRPr="006451CA">
        <w:rPr>
          <w:bCs/>
          <w:iCs/>
        </w:rPr>
        <w:t>(</w:t>
      </w:r>
      <w:proofErr w:type="gramEnd"/>
      <w:r w:rsidRPr="006451CA">
        <w:rPr>
          <w:bCs/>
          <w:iCs/>
        </w:rPr>
        <w:t>INFSS)</w:t>
      </w:r>
      <w:r>
        <w:rPr>
          <w:bCs/>
          <w:iCs/>
        </w:rPr>
        <w:t xml:space="preserve"> </w:t>
      </w:r>
      <w:r w:rsidRPr="001128A5">
        <w:t>sollicite des offres fermées de la part de candidats éligibles et répondant aux qualifications requises pour</w:t>
      </w:r>
      <w:r>
        <w:t xml:space="preserve"> réaliser les travaux suivants à Ségou </w:t>
      </w:r>
      <w:r w:rsidRPr="001128A5">
        <w:t xml:space="preserve">: </w:t>
      </w:r>
      <w:r>
        <w:t>en deux lots distincts</w:t>
      </w:r>
    </w:p>
    <w:p w14:paraId="5B47EA2F" w14:textId="77777777" w:rsidR="00BA2FAA" w:rsidRDefault="00BA2FAA" w:rsidP="00BA2FAA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firstLine="131"/>
        <w:contextualSpacing/>
        <w:textAlignment w:val="auto"/>
      </w:pPr>
      <w:r>
        <w:t>Lot 1 : Un</w:t>
      </w:r>
      <w:r w:rsidRPr="003D619C">
        <w:t xml:space="preserve"> bloc Pédagogique (R+3) et la Clôture ; </w:t>
      </w:r>
    </w:p>
    <w:p w14:paraId="70EFECD4" w14:textId="77777777" w:rsidR="00BA2FAA" w:rsidRPr="001128A5" w:rsidRDefault="00BA2FAA" w:rsidP="00BA2FAA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firstLine="131"/>
        <w:contextualSpacing/>
        <w:textAlignment w:val="auto"/>
      </w:pPr>
      <w:r>
        <w:t>Lot 2 : Un</w:t>
      </w:r>
      <w:r w:rsidRPr="003D619C">
        <w:t xml:space="preserve"> bloc administrati</w:t>
      </w:r>
      <w:r>
        <w:t>f</w:t>
      </w:r>
      <w:r w:rsidRPr="003D619C">
        <w:t>, un</w:t>
      </w:r>
      <w:r>
        <w:t xml:space="preserve"> local</w:t>
      </w:r>
      <w:r w:rsidRPr="003D619C">
        <w:t xml:space="preserve"> transformateur, </w:t>
      </w:r>
      <w:r>
        <w:t>un</w:t>
      </w:r>
      <w:r w:rsidRPr="003D619C">
        <w:t xml:space="preserve"> local groupe, </w:t>
      </w:r>
      <w:r>
        <w:t>un</w:t>
      </w:r>
      <w:r w:rsidRPr="003D619C">
        <w:t xml:space="preserve"> bloc toilette extérieure, </w:t>
      </w:r>
      <w:r>
        <w:t xml:space="preserve">un </w:t>
      </w:r>
      <w:r w:rsidRPr="003D619C">
        <w:t>parking</w:t>
      </w:r>
      <w:r>
        <w:t xml:space="preserve"> couvert</w:t>
      </w:r>
      <w:r w:rsidRPr="003D619C">
        <w:t xml:space="preserve">, </w:t>
      </w:r>
      <w:r>
        <w:t xml:space="preserve">une </w:t>
      </w:r>
      <w:r w:rsidRPr="003D619C">
        <w:t>guérite et l’aménagement de la</w:t>
      </w:r>
      <w:r>
        <w:rPr>
          <w:rFonts w:ascii="Garamond" w:hAnsi="Garamond"/>
          <w:bCs/>
        </w:rPr>
        <w:t xml:space="preserve"> cour</w:t>
      </w:r>
      <w:r>
        <w:rPr>
          <w:rFonts w:ascii="Garamond" w:hAnsi="Garamond" w:cs="Times New Roman"/>
        </w:rPr>
        <w:t>.</w:t>
      </w:r>
    </w:p>
    <w:p w14:paraId="3F5D8677" w14:textId="77777777" w:rsidR="00BA2FAA" w:rsidRDefault="00BA2FAA" w:rsidP="00BA2FAA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</w:pPr>
      <w:r w:rsidRPr="00875D83">
        <w:t>La passation du Marché sera conduite par Appel d’offres ouvert tel que défini dans le Code des Marchés publics à l’article 50</w:t>
      </w:r>
      <w:r w:rsidRPr="00875D83">
        <w:rPr>
          <w:b/>
          <w:i/>
          <w:iCs/>
        </w:rPr>
        <w:t>,</w:t>
      </w:r>
      <w:r w:rsidRPr="00875D83">
        <w:t xml:space="preserve"> et ouvert à tous les candidats éligibles. </w:t>
      </w:r>
    </w:p>
    <w:p w14:paraId="01FC4A0B" w14:textId="77777777" w:rsidR="00BA2FAA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contextualSpacing/>
        <w:textAlignment w:val="auto"/>
      </w:pPr>
      <w:r w:rsidRPr="00DE175F">
        <w:t xml:space="preserve">Les candidats intéressés peuvent obtenir des informations auprès du </w:t>
      </w:r>
      <w:r>
        <w:t>l’agent comptable de l’INFSS</w:t>
      </w:r>
      <w:r w:rsidRPr="00DE175F">
        <w:t xml:space="preserve">, sis à </w:t>
      </w:r>
      <w:r>
        <w:t>N’</w:t>
      </w:r>
      <w:proofErr w:type="spellStart"/>
      <w:r>
        <w:t>Tomikorobougou</w:t>
      </w:r>
      <w:proofErr w:type="spellEnd"/>
      <w:r>
        <w:t xml:space="preserve"> route de Koulouba Tél.</w:t>
      </w:r>
      <w:r w:rsidRPr="00DE175F">
        <w:t xml:space="preserve"> (223) </w:t>
      </w:r>
      <w:r>
        <w:t>76 12 42 59</w:t>
      </w:r>
      <w:r w:rsidRPr="00DE175F">
        <w:t>et prendre connaissance des documents d’Appel d’offres à l’adresse mentionnée ci-après : Division du Matériel et des Approvisionnements d</w:t>
      </w:r>
      <w:r>
        <w:t>e l’INFSS de 08 h 00 mn à 15 heures 00 mn</w:t>
      </w:r>
      <w:r w:rsidRPr="00DE175F">
        <w:t xml:space="preserve">. </w:t>
      </w:r>
    </w:p>
    <w:p w14:paraId="46B12E0F" w14:textId="77777777" w:rsidR="00BA2FAA" w:rsidRDefault="00BA2FAA" w:rsidP="00BA2FAA">
      <w:pPr>
        <w:pStyle w:val="Paragraphedeliste"/>
        <w:spacing w:after="200"/>
        <w:ind w:left="0"/>
      </w:pPr>
    </w:p>
    <w:p w14:paraId="1640D9C9" w14:textId="77777777" w:rsidR="00BA2FAA" w:rsidRPr="00DE175F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 xml:space="preserve">Les exigences en matière de qualifications sont : Les conditions de qualification applicables aux Soumissionnaires </w:t>
      </w:r>
      <w:r>
        <w:t>pour chacun des lots</w:t>
      </w:r>
      <w:r w:rsidRPr="00DE175F">
        <w:t xml:space="preserve"> sont les suivantes : </w:t>
      </w:r>
    </w:p>
    <w:p w14:paraId="50EFA074" w14:textId="77777777" w:rsidR="00BA2FAA" w:rsidRDefault="00BA2FAA" w:rsidP="00BA2FAA">
      <w:pPr>
        <w:ind w:left="540" w:hanging="540"/>
      </w:pPr>
      <w:r w:rsidRPr="00DE175F">
        <w:rPr>
          <w:b/>
        </w:rPr>
        <w:t>Capacité financière</w:t>
      </w:r>
      <w:r w:rsidRPr="00DE175F">
        <w:t xml:space="preserve"> :</w:t>
      </w:r>
    </w:p>
    <w:p w14:paraId="13EB50F8" w14:textId="77777777" w:rsidR="00BA2FAA" w:rsidRDefault="00BA2FAA" w:rsidP="00BA2FAA">
      <w:r w:rsidRPr="00DE175F">
        <w:t xml:space="preserve">Le Soumissionnaire doit fournir la preuve écrite qu’il satisfait aux exigences ci-après : </w:t>
      </w:r>
    </w:p>
    <w:p w14:paraId="458DF0DE" w14:textId="77777777" w:rsidR="00BA2FAA" w:rsidRPr="00D96839" w:rsidRDefault="00BA2FAA" w:rsidP="00BA2FAA"/>
    <w:p w14:paraId="715E4605" w14:textId="77777777" w:rsidR="00BA2FAA" w:rsidRPr="00D67FAD" w:rsidRDefault="00BA2FAA" w:rsidP="00BA2FAA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proofErr w:type="gramStart"/>
      <w:r w:rsidRPr="00D67FAD">
        <w:t>la</w:t>
      </w:r>
      <w:proofErr w:type="gramEnd"/>
      <w:r w:rsidRPr="00D67FAD">
        <w:t xml:space="preserve"> garantie de l’offre égale à :</w:t>
      </w:r>
    </w:p>
    <w:p w14:paraId="48B111B2" w14:textId="77777777" w:rsidR="00BA2FAA" w:rsidRPr="00D67FAD" w:rsidRDefault="00BA2FAA" w:rsidP="00BA2FAA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proofErr w:type="gramStart"/>
      <w:r w:rsidRPr="00D67FAD">
        <w:t>lot</w:t>
      </w:r>
      <w:proofErr w:type="gramEnd"/>
      <w:r w:rsidRPr="00D67FAD">
        <w:t xml:space="preserve"> 1 : </w:t>
      </w:r>
      <w:r w:rsidRPr="00D67FAD">
        <w:rPr>
          <w:b/>
        </w:rPr>
        <w:t>25.000.000</w:t>
      </w:r>
      <w:r w:rsidRPr="00D67FAD">
        <w:t xml:space="preserve"> FCFA ;</w:t>
      </w:r>
    </w:p>
    <w:p w14:paraId="4C00B873" w14:textId="77777777" w:rsidR="00BA2FAA" w:rsidRPr="00D67FAD" w:rsidRDefault="00BA2FAA" w:rsidP="00BA2FAA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proofErr w:type="gramStart"/>
      <w:r w:rsidRPr="00D67FAD">
        <w:t>lot</w:t>
      </w:r>
      <w:proofErr w:type="gramEnd"/>
      <w:r w:rsidRPr="00D67FAD">
        <w:t xml:space="preserve"> 2 : </w:t>
      </w:r>
      <w:r w:rsidRPr="00D67FAD">
        <w:rPr>
          <w:b/>
        </w:rPr>
        <w:t>25.000.000</w:t>
      </w:r>
      <w:r w:rsidRPr="00D67FAD">
        <w:t xml:space="preserve"> FCFA ;</w:t>
      </w:r>
    </w:p>
    <w:p w14:paraId="52B0E500" w14:textId="77777777" w:rsidR="00BA2FAA" w:rsidRPr="00DE175F" w:rsidRDefault="00BA2FAA" w:rsidP="00BA2FAA">
      <w:pPr>
        <w:pStyle w:val="Paragraphedeliste"/>
        <w:numPr>
          <w:ilvl w:val="0"/>
          <w:numId w:val="2"/>
        </w:numPr>
        <w:tabs>
          <w:tab w:val="left" w:pos="394"/>
        </w:tabs>
        <w:overflowPunct/>
        <w:autoSpaceDE/>
        <w:autoSpaceDN/>
        <w:adjustRightInd/>
        <w:ind w:right="-72"/>
        <w:contextualSpacing/>
        <w:textAlignment w:val="auto"/>
      </w:pPr>
      <w:proofErr w:type="gramStart"/>
      <w:r w:rsidRPr="00DE175F">
        <w:t>les</w:t>
      </w:r>
      <w:proofErr w:type="gramEnd"/>
      <w:r w:rsidRPr="00DE175F">
        <w:t xml:space="preserve"> bilans, extraits de bilans ou comptes d’exploitation  des années, certifiés par un expert-comptable ou attestés par un comptable agréé inscrit à l’ordre au maximum pour les années </w:t>
      </w:r>
      <w:r w:rsidRPr="00D67FAD">
        <w:t>201</w:t>
      </w:r>
      <w:r>
        <w:t>8</w:t>
      </w:r>
      <w:r w:rsidRPr="00D67FAD">
        <w:t>, 201</w:t>
      </w:r>
      <w:r>
        <w:t>9</w:t>
      </w:r>
      <w:r w:rsidRPr="00D67FAD">
        <w:t xml:space="preserve"> et 20</w:t>
      </w:r>
      <w:r>
        <w:t>20</w:t>
      </w:r>
      <w:r w:rsidRPr="00D67FAD">
        <w:t xml:space="preserve"> </w:t>
      </w:r>
      <w:r w:rsidRPr="00DE175F">
        <w:t xml:space="preserve">desquels on peut tirer les chiffres d’affaires considérés. </w:t>
      </w:r>
      <w:r w:rsidRPr="00DE175F">
        <w:lastRenderedPageBreak/>
        <w:t>Sur ces bilans doit figurer la mention suivante apposée par le service compétent des impôts « Bilan, ou extraits de bilans conformes aux déclarations souscrites au service des impôts » ;</w:t>
      </w:r>
    </w:p>
    <w:p w14:paraId="674E06F1" w14:textId="77777777" w:rsidR="00BA2FAA" w:rsidRPr="00EE7CDD" w:rsidRDefault="00BA2FAA" w:rsidP="00BA2FAA">
      <w:pPr>
        <w:pStyle w:val="Paragraphedeliste"/>
        <w:numPr>
          <w:ilvl w:val="0"/>
          <w:numId w:val="2"/>
        </w:numPr>
        <w:overflowPunct/>
        <w:autoSpaceDE/>
        <w:adjustRightInd/>
        <w:ind w:right="533"/>
        <w:contextualSpacing/>
        <w:textAlignment w:val="auto"/>
      </w:pPr>
      <w:r w:rsidRPr="00EE7CDD">
        <w:t>Le chiffre</w:t>
      </w:r>
      <w:r>
        <w:t xml:space="preserve"> </w:t>
      </w:r>
      <w:proofErr w:type="gramStart"/>
      <w:r w:rsidRPr="00EE7CDD">
        <w:t>d’affaire</w:t>
      </w:r>
      <w:proofErr w:type="gramEnd"/>
      <w:r w:rsidRPr="00EE7CDD">
        <w:t xml:space="preserve"> moyen doit être au moins égal à </w:t>
      </w:r>
      <w:r>
        <w:rPr>
          <w:b/>
        </w:rPr>
        <w:t xml:space="preserve">deux </w:t>
      </w:r>
      <w:r w:rsidRPr="00EE7CDD">
        <w:rPr>
          <w:b/>
        </w:rPr>
        <w:t xml:space="preserve">cent millions </w:t>
      </w:r>
      <w:r>
        <w:rPr>
          <w:b/>
        </w:rPr>
        <w:t>(2</w:t>
      </w:r>
      <w:r w:rsidRPr="00EE7CDD">
        <w:rPr>
          <w:b/>
        </w:rPr>
        <w:t>00.000.000) de francs CFA</w:t>
      </w:r>
      <w:r w:rsidRPr="00EE7CDD">
        <w:t xml:space="preserve">. </w:t>
      </w:r>
    </w:p>
    <w:p w14:paraId="376D3281" w14:textId="77777777" w:rsidR="00BA2FAA" w:rsidRPr="0090247D" w:rsidRDefault="00BA2FAA" w:rsidP="00BA2FAA">
      <w:pPr>
        <w:numPr>
          <w:ilvl w:val="0"/>
          <w:numId w:val="2"/>
        </w:numPr>
        <w:overflowPunct/>
        <w:autoSpaceDE/>
        <w:autoSpaceDN/>
        <w:adjustRightInd/>
        <w:ind w:right="-72"/>
        <w:jc w:val="left"/>
        <w:textAlignment w:val="auto"/>
      </w:pPr>
      <w:proofErr w:type="gramStart"/>
      <w:r w:rsidRPr="0090247D">
        <w:t>les</w:t>
      </w:r>
      <w:proofErr w:type="gramEnd"/>
      <w:r w:rsidRPr="0090247D">
        <w:t xml:space="preserve"> nouvelles sociétés doivent fournir une attestation bancaire de disponibilité de fonds ou d’engagement à financer le marché d’un montant  au moins égal à </w:t>
      </w:r>
      <w:r w:rsidRPr="0090247D">
        <w:rPr>
          <w:b/>
        </w:rPr>
        <w:t>400 000 000 francs CFA</w:t>
      </w:r>
      <w:r w:rsidRPr="0090247D">
        <w:t>. Toutefois pour l’appréciation des expériences, la candidature de ces sociétés doi</w:t>
      </w:r>
      <w:r>
        <w:t>t</w:t>
      </w:r>
      <w:r w:rsidRPr="0090247D">
        <w:t xml:space="preserve"> être examinée au regard des capacités professionnelles et techniques, notamment, par le biais des expériences et références obtenues par leurs dirigeants ou leurs collaborateurs.</w:t>
      </w:r>
    </w:p>
    <w:p w14:paraId="7337485D" w14:textId="77777777" w:rsidR="00BA2FAA" w:rsidRDefault="00BA2FAA" w:rsidP="00BA2FAA">
      <w:pPr>
        <w:pStyle w:val="Paragraphedeliste"/>
        <w:rPr>
          <w:sz w:val="22"/>
          <w:szCs w:val="22"/>
        </w:rPr>
      </w:pPr>
    </w:p>
    <w:p w14:paraId="2AE01F42" w14:textId="77777777" w:rsidR="00BA2FAA" w:rsidRDefault="00BA2FAA" w:rsidP="00BA2FAA">
      <w:pPr>
        <w:ind w:left="540" w:hanging="540"/>
        <w:rPr>
          <w:b/>
        </w:rPr>
      </w:pPr>
      <w:r w:rsidRPr="00DE175F">
        <w:rPr>
          <w:b/>
        </w:rPr>
        <w:t>Capacité technique et expérience</w:t>
      </w:r>
      <w:r>
        <w:rPr>
          <w:b/>
        </w:rPr>
        <w:t> :</w:t>
      </w:r>
    </w:p>
    <w:p w14:paraId="731BEA09" w14:textId="77777777" w:rsidR="00BA2FAA" w:rsidRPr="00DE175F" w:rsidRDefault="00BA2FAA" w:rsidP="00BA2FAA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 w:rsidRPr="00DE175F">
        <w:t xml:space="preserve">Expériences similaires attestées par au moins </w:t>
      </w:r>
      <w:r w:rsidRPr="002D0B43">
        <w:t>deux (02)</w:t>
      </w:r>
      <w:r>
        <w:t xml:space="preserve"> d’un montant de </w:t>
      </w:r>
      <w:r w:rsidRPr="00D67FAD">
        <w:t>(</w:t>
      </w:r>
      <w:r w:rsidRPr="00D67FAD">
        <w:rPr>
          <w:b/>
        </w:rPr>
        <w:t>100 000 000) CFA</w:t>
      </w:r>
      <w:r w:rsidRPr="00D67FAD">
        <w:t xml:space="preserve"> </w:t>
      </w:r>
      <w:r>
        <w:t xml:space="preserve">au moins un (01) </w:t>
      </w:r>
      <w:r w:rsidRPr="00D67FAD">
        <w:t>avec</w:t>
      </w:r>
      <w:r>
        <w:t xml:space="preserve"> des attestations </w:t>
      </w:r>
      <w:r w:rsidRPr="00DE175F">
        <w:t>de bonne exécution et ou les procès-verbaux de réception provisoire ou définitive et les copies des pages de garde et des pages de signatures des marchés correspondants des cinq (05) dernières années 201</w:t>
      </w:r>
      <w:r>
        <w:t>6</w:t>
      </w:r>
      <w:r w:rsidRPr="00DE175F">
        <w:t xml:space="preserve"> à 20</w:t>
      </w:r>
      <w:r>
        <w:t>20</w:t>
      </w:r>
      <w:r w:rsidRPr="00DE175F">
        <w:t xml:space="preserve"> ;</w:t>
      </w:r>
    </w:p>
    <w:p w14:paraId="10EE4AEA" w14:textId="77777777" w:rsidR="00BA2FAA" w:rsidRPr="00DE175F" w:rsidRDefault="00BA2FAA" w:rsidP="00BA2FAA">
      <w:pPr>
        <w:pStyle w:val="Paragraphedeliste"/>
        <w:ind w:left="0"/>
        <w:rPr>
          <w:iCs/>
        </w:rPr>
      </w:pPr>
    </w:p>
    <w:p w14:paraId="20BCBF5D" w14:textId="77777777" w:rsidR="00BA2FAA" w:rsidRDefault="00BA2FAA" w:rsidP="00BA2FAA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</w:pPr>
      <w:r w:rsidRPr="00DE175F"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Cs/>
        </w:rPr>
        <w:t>Cent M</w:t>
      </w:r>
      <w:r w:rsidRPr="0090247D">
        <w:rPr>
          <w:b/>
          <w:iCs/>
        </w:rPr>
        <w:t>ille (</w:t>
      </w:r>
      <w:r>
        <w:rPr>
          <w:b/>
          <w:iCs/>
        </w:rPr>
        <w:t>100</w:t>
      </w:r>
      <w:r w:rsidRPr="0090247D">
        <w:rPr>
          <w:b/>
          <w:iCs/>
        </w:rPr>
        <w:t>.000) FCFA</w:t>
      </w:r>
      <w:r>
        <w:rPr>
          <w:b/>
          <w:iCs/>
        </w:rPr>
        <w:t xml:space="preserve"> auprès</w:t>
      </w:r>
      <w:r w:rsidRPr="00DE175F">
        <w:t xml:space="preserve"> du régisseur de recettes de l’</w:t>
      </w:r>
      <w:r>
        <w:t>INFSS</w:t>
      </w:r>
      <w:r w:rsidRPr="00DE175F">
        <w:t>. La méthode de paiement sera en numéraire. Le Dossier d’Appel d’offres sera remis directement après paiement</w:t>
      </w:r>
      <w:r>
        <w:t xml:space="preserve"> (version électronique et papier).</w:t>
      </w:r>
    </w:p>
    <w:p w14:paraId="040609C9" w14:textId="77777777" w:rsidR="00BA2FAA" w:rsidRPr="00774862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>Les offres devront être soumises à l’adresse ci-après Division du Matériel et des Approvisionnements de l’</w:t>
      </w:r>
      <w:r>
        <w:t>INFSS</w:t>
      </w:r>
      <w:r w:rsidRPr="00DE175F">
        <w:t xml:space="preserve"> au plus tard </w:t>
      </w:r>
      <w:r>
        <w:rPr>
          <w:b/>
        </w:rPr>
        <w:t>le …22 juillet 2021 à 10H00</w:t>
      </w:r>
      <w:r>
        <w:t>.</w:t>
      </w:r>
      <w:r w:rsidRPr="00EB5373">
        <w:t xml:space="preserve"> Les offres remises en retard ne seront pas acceptées. </w:t>
      </w:r>
    </w:p>
    <w:p w14:paraId="76B223EE" w14:textId="77777777" w:rsidR="00BA2FAA" w:rsidRPr="00774862" w:rsidRDefault="00BA2FAA" w:rsidP="00BA2FAA">
      <w:pPr>
        <w:pStyle w:val="Paragraphedeliste"/>
        <w:suppressAutoHyphens w:val="0"/>
        <w:overflowPunct/>
        <w:autoSpaceDE/>
        <w:autoSpaceDN/>
        <w:adjustRightInd/>
        <w:spacing w:after="200"/>
        <w:ind w:left="644"/>
        <w:contextualSpacing/>
        <w:textAlignment w:val="auto"/>
        <w:rPr>
          <w:iCs/>
        </w:rPr>
      </w:pPr>
    </w:p>
    <w:p w14:paraId="2B195F58" w14:textId="77777777" w:rsidR="00BA2FAA" w:rsidRPr="00AF6C30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b/>
          <w:iCs/>
        </w:rPr>
      </w:pPr>
      <w:r w:rsidRPr="00AF6C30">
        <w:t xml:space="preserve">Les offres doivent comprendre </w:t>
      </w:r>
      <w:r w:rsidRPr="00AF6C30">
        <w:rPr>
          <w:iCs/>
        </w:rPr>
        <w:t>une garantie de soumission</w:t>
      </w:r>
      <w:r w:rsidRPr="00AF6C30">
        <w:t xml:space="preserve">, d’un montant de vingt-cinq </w:t>
      </w:r>
      <w:r w:rsidRPr="00AF6C30">
        <w:rPr>
          <w:b/>
        </w:rPr>
        <w:t>(25) millions FCFA</w:t>
      </w:r>
      <w:r w:rsidRPr="00AF6C30">
        <w:rPr>
          <w:b/>
          <w:i/>
          <w:iCs/>
        </w:rPr>
        <w:t xml:space="preserve"> </w:t>
      </w:r>
      <w:r w:rsidRPr="00AF6C30">
        <w:rPr>
          <w:b/>
          <w:iCs/>
        </w:rPr>
        <w:t xml:space="preserve">pour chaque lot (lot1 et lot 2) </w:t>
      </w:r>
    </w:p>
    <w:p w14:paraId="076B6C71" w14:textId="77777777" w:rsidR="00BA2FAA" w:rsidRPr="00AF6C30" w:rsidRDefault="00BA2FAA" w:rsidP="00BA2FAA">
      <w:pPr>
        <w:pStyle w:val="Paragraphedeliste"/>
        <w:rPr>
          <w:iCs/>
        </w:rPr>
      </w:pPr>
    </w:p>
    <w:p w14:paraId="3F2BEABD" w14:textId="77777777" w:rsidR="00BA2FAA" w:rsidRPr="00372639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>Les Soumissionnaires resteront engagés par leur offre pendant une période de quatre-vingt-dix jours (90) à compter de la date limite du dépôt des offres comme spécifiées au point 19.1 des IC et au DPAO.</w:t>
      </w:r>
    </w:p>
    <w:p w14:paraId="12D93DA3" w14:textId="77777777" w:rsidR="00BA2FAA" w:rsidRDefault="00BA2FAA" w:rsidP="00BA2FAA">
      <w:pPr>
        <w:pStyle w:val="Paragraphedeliste"/>
        <w:rPr>
          <w:iCs/>
        </w:rPr>
      </w:pPr>
    </w:p>
    <w:p w14:paraId="331E5C0D" w14:textId="77777777" w:rsidR="00BA2FAA" w:rsidRPr="00372639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 xml:space="preserve">Les offres seront ouvertes en présence des représentants des soumissionnaires qui souhaitent assister à l’ouverture des plis </w:t>
      </w:r>
      <w:r>
        <w:rPr>
          <w:b/>
        </w:rPr>
        <w:t xml:space="preserve">le   22 juillet </w:t>
      </w:r>
      <w:proofErr w:type="gramStart"/>
      <w:r>
        <w:rPr>
          <w:b/>
        </w:rPr>
        <w:t>2021  à</w:t>
      </w:r>
      <w:proofErr w:type="gramEnd"/>
      <w:r>
        <w:rPr>
          <w:b/>
        </w:rPr>
        <w:t xml:space="preserve"> 10H15mn </w:t>
      </w:r>
      <w:r w:rsidRPr="00DE175F">
        <w:t xml:space="preserve">à l’adresse suivante : </w:t>
      </w:r>
      <w:r>
        <w:t>S</w:t>
      </w:r>
      <w:r w:rsidRPr="00DE175F">
        <w:t xml:space="preserve">alle de </w:t>
      </w:r>
      <w:r>
        <w:t>réunion située au RDC du bloc de la Direction Générale de l’INFSS</w:t>
      </w:r>
      <w:r w:rsidRPr="00DE175F">
        <w:t>.</w:t>
      </w:r>
    </w:p>
    <w:p w14:paraId="2EBE1D4A" w14:textId="77777777" w:rsidR="00BA2FAA" w:rsidRDefault="00BA2FAA" w:rsidP="00BA2FAA">
      <w:pPr>
        <w:pStyle w:val="Paragraphedeliste"/>
        <w:rPr>
          <w:iCs/>
        </w:rPr>
      </w:pPr>
    </w:p>
    <w:p w14:paraId="4E766D0F" w14:textId="77777777" w:rsidR="00BA2FAA" w:rsidRDefault="00BA2FAA" w:rsidP="00BA2FAA">
      <w:pPr>
        <w:pStyle w:val="Paragraphedeliste"/>
        <w:rPr>
          <w:iCs/>
        </w:rPr>
      </w:pPr>
    </w:p>
    <w:p w14:paraId="3042B5BC" w14:textId="77777777" w:rsidR="00BA2FAA" w:rsidRDefault="00BA2FAA" w:rsidP="00BA2FAA">
      <w:pPr>
        <w:spacing w:after="120"/>
        <w:ind w:left="4892" w:firstLine="64"/>
        <w:rPr>
          <w:rFonts w:ascii="Arial" w:hAnsi="Arial"/>
          <w:i/>
          <w:sz w:val="22"/>
        </w:rPr>
      </w:pPr>
      <w:r w:rsidRPr="005C5A9C">
        <w:rPr>
          <w:rFonts w:ascii="Arial" w:hAnsi="Arial"/>
          <w:i/>
          <w:sz w:val="22"/>
        </w:rPr>
        <w:t>Bamako, le ……………...</w:t>
      </w:r>
    </w:p>
    <w:p w14:paraId="0A42CC9C" w14:textId="77777777" w:rsidR="00BA2FAA" w:rsidRPr="008817B3" w:rsidRDefault="00BA2FAA" w:rsidP="00BA2FAA">
      <w:pPr>
        <w:spacing w:after="1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                </w:t>
      </w:r>
      <w:proofErr w:type="gramStart"/>
      <w:r w:rsidRPr="00680EFB">
        <w:rPr>
          <w:rFonts w:ascii="Arial" w:hAnsi="Arial"/>
          <w:b/>
          <w:sz w:val="28"/>
          <w:szCs w:val="28"/>
        </w:rPr>
        <w:t xml:space="preserve">LE  </w:t>
      </w:r>
      <w:r>
        <w:rPr>
          <w:rFonts w:ascii="Arial" w:hAnsi="Arial"/>
          <w:b/>
          <w:sz w:val="28"/>
          <w:szCs w:val="28"/>
        </w:rPr>
        <w:t>DIRECTEUR</w:t>
      </w:r>
      <w:proofErr w:type="gramEnd"/>
      <w:r>
        <w:rPr>
          <w:rFonts w:ascii="Arial" w:hAnsi="Arial"/>
          <w:b/>
          <w:sz w:val="28"/>
          <w:szCs w:val="28"/>
        </w:rPr>
        <w:t xml:space="preserve"> GENERAL ADJOINT</w:t>
      </w:r>
    </w:p>
    <w:p w14:paraId="3FB031F2" w14:textId="77777777" w:rsidR="00BA2FAA" w:rsidRPr="003954B8" w:rsidRDefault="00BA2FAA" w:rsidP="00BA2FAA">
      <w:pPr>
        <w:ind w:left="644"/>
        <w:rPr>
          <w:rFonts w:ascii="Arial" w:hAnsi="Arial"/>
          <w:b/>
        </w:rPr>
      </w:pPr>
      <w:r w:rsidRPr="003954B8">
        <w:rPr>
          <w:rFonts w:ascii="Arial" w:hAnsi="Arial"/>
          <w:b/>
        </w:rPr>
        <w:tab/>
      </w:r>
      <w:r w:rsidRPr="003954B8">
        <w:rPr>
          <w:rFonts w:ascii="Arial" w:hAnsi="Arial"/>
          <w:b/>
        </w:rPr>
        <w:tab/>
      </w:r>
    </w:p>
    <w:p w14:paraId="6578F05F" w14:textId="77777777" w:rsidR="00BA2FAA" w:rsidRDefault="00BA2FAA" w:rsidP="00BA2FAA">
      <w:pPr>
        <w:ind w:left="644"/>
        <w:rPr>
          <w:rFonts w:ascii="Arial" w:hAnsi="Arial"/>
          <w:sz w:val="22"/>
          <w:szCs w:val="22"/>
        </w:rPr>
      </w:pPr>
    </w:p>
    <w:p w14:paraId="6BAA5615" w14:textId="77777777" w:rsidR="00BA2FAA" w:rsidRDefault="00BA2FAA"/>
    <w:sectPr w:rsidR="00BA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3E7"/>
    <w:multiLevelType w:val="hybridMultilevel"/>
    <w:tmpl w:val="3F10971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38742E"/>
    <w:multiLevelType w:val="hybridMultilevel"/>
    <w:tmpl w:val="950C8964"/>
    <w:lvl w:ilvl="0" w:tplc="EFFC2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23DE"/>
    <w:multiLevelType w:val="hybridMultilevel"/>
    <w:tmpl w:val="84BCC0F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1B29"/>
    <w:multiLevelType w:val="hybridMultilevel"/>
    <w:tmpl w:val="96548F68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A"/>
    <w:rsid w:val="0078412A"/>
    <w:rsid w:val="00B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3ACF"/>
  <w15:chartTrackingRefBased/>
  <w15:docId w15:val="{0A4F75A3-71F1-4FEC-82EB-55CDFEE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A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BA2FAA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2FAA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A2F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dgmp</dc:creator>
  <cp:keywords/>
  <dc:description/>
  <cp:lastModifiedBy>user</cp:lastModifiedBy>
  <cp:revision>2</cp:revision>
  <dcterms:created xsi:type="dcterms:W3CDTF">2022-03-15T14:11:00Z</dcterms:created>
  <dcterms:modified xsi:type="dcterms:W3CDTF">2022-03-15T14:11:00Z</dcterms:modified>
</cp:coreProperties>
</file>