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348D65B9" w:rsidR="008F02C6" w:rsidRPr="005E16AA" w:rsidRDefault="008F02C6" w:rsidP="00EC4097">
      <w:pPr>
        <w:suppressAutoHyphens/>
        <w:jc w:val="center"/>
        <w:rPr>
          <w:b/>
          <w:sz w:val="32"/>
        </w:rPr>
      </w:pPr>
      <w:r>
        <w:rPr>
          <w:b/>
          <w:sz w:val="32"/>
        </w:rPr>
        <w:t xml:space="preserve">MINISTERE </w:t>
      </w:r>
      <w:r w:rsidR="00A959AF" w:rsidRPr="005E16AA">
        <w:rPr>
          <w:b/>
          <w:sz w:val="32"/>
        </w:rPr>
        <w:t>D</w:t>
      </w:r>
      <w:r w:rsidR="00153007" w:rsidRPr="005E16AA">
        <w:rPr>
          <w:b/>
          <w:sz w:val="32"/>
        </w:rPr>
        <w:t>E L’ELEVAGE ET DE LA PECHE</w:t>
      </w:r>
    </w:p>
    <w:p w14:paraId="3E8837B9" w14:textId="77777777" w:rsidR="008F02C6" w:rsidRPr="005E16AA" w:rsidRDefault="008F02C6" w:rsidP="00EC4097">
      <w:pPr>
        <w:suppressAutoHyphens/>
        <w:jc w:val="center"/>
        <w:rPr>
          <w:b/>
          <w:sz w:val="32"/>
        </w:rPr>
      </w:pPr>
    </w:p>
    <w:p w14:paraId="3E8837BA" w14:textId="2DD7442A" w:rsidR="00EC4097" w:rsidRPr="005E16AA" w:rsidRDefault="00EC4097" w:rsidP="00EC4097">
      <w:pPr>
        <w:suppressAutoHyphens/>
        <w:jc w:val="center"/>
        <w:rPr>
          <w:b/>
        </w:rPr>
      </w:pPr>
      <w:r w:rsidRPr="005E16AA">
        <w:rPr>
          <w:b/>
        </w:rPr>
        <w:t xml:space="preserve">PROJET </w:t>
      </w:r>
      <w:r w:rsidR="00A959AF" w:rsidRPr="005E16AA">
        <w:rPr>
          <w:b/>
        </w:rPr>
        <w:t xml:space="preserve">REGIONAL </w:t>
      </w:r>
      <w:r w:rsidRPr="005E16AA">
        <w:rPr>
          <w:b/>
        </w:rPr>
        <w:t>D’A</w:t>
      </w:r>
      <w:r w:rsidR="002A3136" w:rsidRPr="005E16AA">
        <w:rPr>
          <w:b/>
        </w:rPr>
        <w:t xml:space="preserve">PPUI AU </w:t>
      </w:r>
      <w:r w:rsidR="00A959AF" w:rsidRPr="005E16AA">
        <w:rPr>
          <w:b/>
        </w:rPr>
        <w:t>PASTORALISME AU SAHEL</w:t>
      </w:r>
      <w:r w:rsidR="005A6FDD" w:rsidRPr="005E16AA">
        <w:rPr>
          <w:b/>
        </w:rPr>
        <w:t xml:space="preserve"> AU MALI</w:t>
      </w:r>
      <w:r w:rsidR="002A3136" w:rsidRPr="005E16AA">
        <w:rPr>
          <w:b/>
        </w:rPr>
        <w:t xml:space="preserve"> </w:t>
      </w:r>
      <w:r w:rsidR="00A959AF" w:rsidRPr="005E16AA">
        <w:rPr>
          <w:b/>
        </w:rPr>
        <w:t xml:space="preserve">PHASE </w:t>
      </w:r>
      <w:r w:rsidR="001121AB" w:rsidRPr="005E16AA">
        <w:rPr>
          <w:b/>
        </w:rPr>
        <w:t>II</w:t>
      </w:r>
      <w:r w:rsidR="008447B6" w:rsidRPr="005E16AA">
        <w:rPr>
          <w:b/>
        </w:rPr>
        <w:t xml:space="preserve"> </w:t>
      </w:r>
      <w:r w:rsidR="002A3136" w:rsidRPr="005E16AA">
        <w:rPr>
          <w:b/>
        </w:rPr>
        <w:t>(P</w:t>
      </w:r>
      <w:r w:rsidR="00A959AF" w:rsidRPr="005E16AA">
        <w:rPr>
          <w:b/>
        </w:rPr>
        <w:t xml:space="preserve">RAPS </w:t>
      </w:r>
      <w:r w:rsidR="001121AB" w:rsidRPr="005E16AA">
        <w:rPr>
          <w:b/>
        </w:rPr>
        <w:t>2</w:t>
      </w:r>
      <w:r w:rsidR="002A3136" w:rsidRPr="005E16AA">
        <w:rPr>
          <w:b/>
        </w:rPr>
        <w:t>-M</w:t>
      </w:r>
      <w:r w:rsidR="00D72AF7" w:rsidRPr="005E16AA">
        <w:rPr>
          <w:b/>
        </w:rPr>
        <w:t>L</w:t>
      </w:r>
      <w:r w:rsidR="002A3136" w:rsidRPr="005E16AA">
        <w:rPr>
          <w:b/>
        </w:rPr>
        <w:t>)</w:t>
      </w:r>
    </w:p>
    <w:p w14:paraId="16547FE6" w14:textId="5E1D2A8C" w:rsidR="00AF5C54" w:rsidRPr="008A49BE" w:rsidRDefault="00AF5C54" w:rsidP="00EC4097">
      <w:pPr>
        <w:suppressAutoHyphens/>
        <w:jc w:val="center"/>
        <w:rPr>
          <w:b/>
        </w:rPr>
      </w:pPr>
      <w:r w:rsidRPr="005E16AA">
        <w:rPr>
          <w:b/>
        </w:rPr>
        <w:t xml:space="preserve">RELECTURE DU DECRET PORTANT CHARTE PASTORALE </w:t>
      </w:r>
      <w:r>
        <w:rPr>
          <w:b/>
        </w:rPr>
        <w:t>EN REPUBLIQUE DU MAI</w:t>
      </w:r>
    </w:p>
    <w:p w14:paraId="3E8837BB" w14:textId="77777777" w:rsidR="006D39E8" w:rsidRPr="008A49BE" w:rsidRDefault="006D39E8" w:rsidP="003A7703">
      <w:pPr>
        <w:suppressAutoHyphens/>
        <w:rPr>
          <w:b/>
        </w:rPr>
      </w:pPr>
    </w:p>
    <w:p w14:paraId="5F7FC1EB" w14:textId="04C0373B" w:rsidR="00A959AF" w:rsidRPr="00A959AF" w:rsidRDefault="00A959AF" w:rsidP="00AF5C54">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7AEBF471" w:rsidR="0028291E" w:rsidRPr="00564A8B" w:rsidRDefault="00A12488" w:rsidP="00977BD7">
      <w:pPr>
        <w:suppressAutoHyphens/>
        <w:rPr>
          <w:b/>
          <w:bCs/>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564A8B" w:rsidRPr="00564A8B">
        <w:rPr>
          <w:b/>
          <w:bCs/>
          <w:color w:val="26282A"/>
        </w:rPr>
        <w:t>ML-PRAPS-ML-</w:t>
      </w:r>
      <w:r w:rsidR="00AF5C54">
        <w:rPr>
          <w:b/>
          <w:bCs/>
          <w:color w:val="26282A"/>
        </w:rPr>
        <w:t>34104</w:t>
      </w:r>
      <w:r w:rsidR="00564A8B" w:rsidRPr="00564A8B">
        <w:rPr>
          <w:b/>
          <w:bCs/>
          <w:color w:val="26282A"/>
        </w:rPr>
        <w:t>9-CS-CQS</w:t>
      </w:r>
    </w:p>
    <w:p w14:paraId="3E8837BF" w14:textId="77777777" w:rsidR="00CF1A8A" w:rsidRPr="003A7703" w:rsidRDefault="00CF1A8A" w:rsidP="00CF1A8A">
      <w:pPr>
        <w:rPr>
          <w:rFonts w:ascii="Arial Narrow" w:hAnsi="Arial Narrow"/>
          <w:b/>
          <w:bCs/>
          <w:sz w:val="22"/>
          <w:szCs w:val="22"/>
        </w:rPr>
      </w:pPr>
    </w:p>
    <w:p w14:paraId="3E8837C0" w14:textId="0B8C3784" w:rsidR="00C6482E" w:rsidRPr="006F6B45" w:rsidRDefault="0028291E" w:rsidP="00846E99">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 xml:space="preserve">ecrutement d’un </w:t>
      </w:r>
      <w:r w:rsidR="00767BE8">
        <w:rPr>
          <w:rFonts w:eastAsia="Calibri"/>
          <w:b/>
          <w:bCs/>
          <w:lang w:val="fr-MC"/>
        </w:rPr>
        <w:t>Bureau</w:t>
      </w:r>
      <w:r w:rsidR="00F154E0" w:rsidRPr="00974476">
        <w:rPr>
          <w:rFonts w:eastAsia="Calibri"/>
          <w:b/>
          <w:bCs/>
          <w:lang w:val="fr-MC"/>
        </w:rPr>
        <w:t xml:space="preserve"> pour </w:t>
      </w:r>
      <w:r w:rsidR="007A230B" w:rsidRPr="006424EB">
        <w:rPr>
          <w:b/>
        </w:rPr>
        <w:t>l</w:t>
      </w:r>
      <w:r w:rsidR="00767BE8">
        <w:rPr>
          <w:b/>
        </w:rPr>
        <w:t>a relecture du décret portant charte pastorale en République du Mali</w:t>
      </w:r>
      <w:r w:rsidR="003A7703" w:rsidRPr="00972B23">
        <w:rPr>
          <w:b/>
        </w:rPr>
        <w:t>.</w:t>
      </w:r>
    </w:p>
    <w:p w14:paraId="3E8837C1" w14:textId="7674DBF7" w:rsidR="00D16B6D" w:rsidRDefault="00D16B6D" w:rsidP="00846E99">
      <w:pPr>
        <w:ind w:right="22"/>
        <w:jc w:val="both"/>
      </w:pPr>
    </w:p>
    <w:p w14:paraId="08DA89F3" w14:textId="3EC1D39D"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w:t>
      </w:r>
      <w:r w:rsidR="001121AB">
        <w:rPr>
          <w:color w:val="000000" w:themeColor="text1"/>
        </w:rPr>
        <w:t xml:space="preserve">millions </w:t>
      </w:r>
      <w:r w:rsidR="006F6B45" w:rsidRPr="00D046B2">
        <w:rPr>
          <w:color w:val="000000" w:themeColor="text1"/>
        </w:rPr>
        <w:t xml:space="preserve">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140A7A24" w:rsidR="00786B93" w:rsidRPr="006D1362" w:rsidRDefault="00786B93" w:rsidP="00786B93">
      <w:pPr>
        <w:jc w:val="both"/>
      </w:pPr>
      <w:r w:rsidRPr="006D1362">
        <w:rPr>
          <w:b/>
        </w:rPr>
        <w:t>Composante 3 : amélioration des chaînes de valeur du bétail</w:t>
      </w:r>
      <w:bookmarkStart w:id="0" w:name="_Toc422232228"/>
      <w:r>
        <w:rPr>
          <w:b/>
        </w:rPr>
        <w:t>.</w:t>
      </w:r>
      <w:r w:rsidRPr="006D1362">
        <w:t xml:space="preserve"> </w:t>
      </w:r>
      <w:bookmarkEnd w:id="0"/>
      <w:r w:rsidRPr="006D1362">
        <w:t xml:space="preserve">Elle s’articule autour des trois sous-composantes suivantes : (i) </w:t>
      </w:r>
      <w:r w:rsidRPr="001B618A">
        <w:t>Développement d'une</w:t>
      </w:r>
      <w:r w:rsidRPr="006D1362">
        <w:t xml:space="preserve"> infrastructure </w:t>
      </w:r>
      <w:r>
        <w:t>de march</w:t>
      </w:r>
      <w:r w:rsidRPr="006D1362">
        <w:t>é</w:t>
      </w:r>
      <w:r>
        <w:t xml:space="preserve"> </w:t>
      </w:r>
      <w:r w:rsidRPr="006D1362">
        <w:t>stratégique pour le commerce 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lastRenderedPageBreak/>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1" w:name="_Toc410417058"/>
      <w:bookmarkStart w:id="2"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1"/>
      <w:bookmarkEnd w:id="2"/>
      <w:r w:rsidRPr="006D1362">
        <w:t>revenus</w:t>
      </w:r>
      <w:r w:rsidRPr="006D1362" w:rsidDel="00E663E8">
        <w:t>.</w:t>
      </w:r>
    </w:p>
    <w:p w14:paraId="3AB1DDC0" w14:textId="77777777" w:rsidR="00786B93" w:rsidRPr="006D1362"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6C181A6E" w14:textId="77777777" w:rsidR="002B4AEB" w:rsidRPr="002B4AEB" w:rsidRDefault="002B4AEB" w:rsidP="002B4AEB">
      <w:pPr>
        <w:spacing w:before="240" w:after="240"/>
        <w:jc w:val="both"/>
      </w:pPr>
      <w:r w:rsidRPr="002B4AEB">
        <w:t>L’élevage au Mali est une activité économique et sociale de première importance depuis la période coloniale jusqu’à nos jours. Ces dernières années, il représente régulièrement plus de 10% du produit intérieur brut et est le troisième contributeur aux ressources d’exportation après l’or et le coton.</w:t>
      </w:r>
    </w:p>
    <w:p w14:paraId="73BAD848" w14:textId="57A4681B" w:rsidR="002B4AEB" w:rsidRPr="002B4AEB" w:rsidRDefault="002B4AEB" w:rsidP="002B4AEB">
      <w:pPr>
        <w:spacing w:before="240" w:after="240"/>
        <w:jc w:val="both"/>
      </w:pPr>
      <w:r w:rsidRPr="002B4AEB">
        <w:t>Depuis la période des empires, les sociétés rurales ont cherché à réglementer l’activité pastorale. Initialement, les guerriers sécurisaient la mobilité des troupeaux selon des accords établis entre les pasteurs et les agriculteurs. C’est ainsi que dans la zone du Delta intérieur du Niger, la « Diina</w:t>
      </w:r>
      <w:r w:rsidR="006E3301">
        <w:rPr>
          <w:rStyle w:val="Appelnotedebasdep"/>
        </w:rPr>
        <w:footnoteReference w:id="1"/>
      </w:r>
      <w:r w:rsidRPr="002B4AEB">
        <w:t xml:space="preserve"> » a été instaurée pour organiser la gestion des activités agricoles et pastorales. </w:t>
      </w:r>
    </w:p>
    <w:p w14:paraId="620838C4" w14:textId="77777777" w:rsidR="002B4AEB" w:rsidRPr="002B4AEB" w:rsidRDefault="002B4AEB" w:rsidP="002B4AEB">
      <w:pPr>
        <w:spacing w:before="240" w:after="240"/>
        <w:jc w:val="both"/>
      </w:pPr>
      <w:r w:rsidRPr="002B4AEB">
        <w:t xml:space="preserve">Avec la colonisation de nombreux axes commerciaux ont été ouverts et protégés par l’armée et d’autres personnes désignées par les Autorités Administratives pour fluidifier le trafic du bétail à l’intérieur du Soudan Français et ses liens transfrontaliers vers les ports maritimes. </w:t>
      </w:r>
    </w:p>
    <w:p w14:paraId="7076A5B8" w14:textId="77777777" w:rsidR="002B4AEB" w:rsidRPr="002B4AEB" w:rsidRDefault="002B4AEB" w:rsidP="002B4AEB">
      <w:pPr>
        <w:spacing w:before="240" w:after="240"/>
        <w:jc w:val="both"/>
      </w:pPr>
      <w:r w:rsidRPr="002B4AEB">
        <w:t xml:space="preserve">Après l’indépendance, d’importantes transformations de nature à modifier l’activité pastorale sur le territoire national ont été enregistrées </w:t>
      </w:r>
    </w:p>
    <w:p w14:paraId="12C080FA" w14:textId="77777777" w:rsidR="002B4AEB" w:rsidRPr="002B4AEB" w:rsidRDefault="002B4AEB" w:rsidP="002B4AEB">
      <w:pPr>
        <w:spacing w:before="240" w:after="240"/>
        <w:jc w:val="both"/>
      </w:pPr>
      <w:r w:rsidRPr="002B4AEB">
        <w:t xml:space="preserve">Ces transformations bien connues des acteurs dans leurs stratégies de développement n’ont pas permis de soutenir les initiatives locales qui émergent çà et là pour assurer la mobilité pastorale et le rôle économique de l’élevage. </w:t>
      </w:r>
    </w:p>
    <w:p w14:paraId="7E20B77B" w14:textId="77777777" w:rsidR="002B4AEB" w:rsidRPr="002B4AEB" w:rsidRDefault="002B4AEB" w:rsidP="002B4AEB">
      <w:pPr>
        <w:spacing w:before="240" w:after="240"/>
        <w:jc w:val="both"/>
      </w:pPr>
      <w:r w:rsidRPr="002B4AEB">
        <w:t xml:space="preserve">C’est dans ce cadre qu’une charte pastorale en République du Mali a été adoptée par la Loi-N°01-004 du 27 Février 2001. Cette Loi constitue un instrument juridique qui régule la question pastorale de façon générale et la question de la transhumance de façon spécifique. Plusieurs références sont faites à la gestion : (i) des ressources naturelles et particulièrement à celle des espaces pastoraux ; (ii) de la cohabitation des différents groupes socioprofessionnels notamment les agriculteurs et les éleveurs de différents modes de production. </w:t>
      </w:r>
    </w:p>
    <w:p w14:paraId="544C13D4" w14:textId="6C4A416C" w:rsidR="006F6B45" w:rsidRDefault="002B4AEB" w:rsidP="002B4AEB">
      <w:pPr>
        <w:ind w:left="-142"/>
        <w:jc w:val="both"/>
      </w:pPr>
      <w:r w:rsidRPr="002B4AEB">
        <w:t>Le Décret N°06-439/P-RM du 18 octobre 2006 portant application de cette Loi donne des responsabilités claires aux organisations paysannes auprès des élus communaux. Il traite du déplacement des animaux et de l’organisation de la transhumance. Ses articles 10 et 12 donnent les normes quant aux servitudes à observer sur les pistes et les points d’eau aménagés. Mais toutefois, des insuffisances sont souvent relevées dans la Loi et le Décret d’application toutes choses qui nécessitent leur relecture</w:t>
      </w:r>
      <w:r>
        <w:t>.</w:t>
      </w:r>
    </w:p>
    <w:p w14:paraId="1C612B76" w14:textId="77777777" w:rsidR="002B4AEB" w:rsidRPr="002B4AEB" w:rsidRDefault="002B4AEB" w:rsidP="002B4AEB">
      <w:pPr>
        <w:ind w:left="-142"/>
        <w:jc w:val="both"/>
        <w:rPr>
          <w:rFonts w:eastAsia="Calibri"/>
        </w:rPr>
      </w:pPr>
    </w:p>
    <w:p w14:paraId="2BCAE168" w14:textId="578D789F" w:rsidR="007211CE" w:rsidRPr="009E3684" w:rsidRDefault="00603BF4" w:rsidP="00846E99">
      <w:pPr>
        <w:ind w:right="22"/>
        <w:jc w:val="both"/>
      </w:pPr>
      <w:r w:rsidRPr="00FE5614">
        <w:t>3</w:t>
      </w:r>
      <w:r w:rsidR="00D16B6D" w:rsidRPr="00846E99">
        <w:t xml:space="preserve">. </w:t>
      </w:r>
      <w:r w:rsidR="00846E99" w:rsidRPr="00846E99">
        <w:t xml:space="preserve"> </w:t>
      </w:r>
      <w:r w:rsidR="007211CE" w:rsidRPr="00846E99">
        <w:t xml:space="preserve">Les services de consultant (« Services ») </w:t>
      </w:r>
      <w:r w:rsidR="009E3684" w:rsidRPr="009E3684">
        <w:t xml:space="preserve">qui ne doivent </w:t>
      </w:r>
      <w:r w:rsidR="009E3684" w:rsidRPr="009E3684">
        <w:rPr>
          <w:bCs/>
        </w:rPr>
        <w:t xml:space="preserve">pas dépasser </w:t>
      </w:r>
      <w:r w:rsidR="002B4AEB" w:rsidRPr="002B4AEB">
        <w:t>soixante (60) jours ouvrables</w:t>
      </w:r>
      <w:r w:rsidR="009E3684" w:rsidRPr="009E3684">
        <w:rPr>
          <w:bCs/>
        </w:rPr>
        <w:t>, à compter de la date de l’ordre de service</w:t>
      </w:r>
      <w:r w:rsidR="009E3684" w:rsidRPr="009E3684">
        <w:t xml:space="preserve"> consistent à</w:t>
      </w:r>
      <w:r w:rsidR="007211CE" w:rsidRPr="009E3684">
        <w:t> :</w:t>
      </w:r>
    </w:p>
    <w:p w14:paraId="4293F961" w14:textId="77777777" w:rsidR="005E436C" w:rsidRPr="00094945" w:rsidRDefault="005E436C" w:rsidP="005E436C">
      <w:pPr>
        <w:jc w:val="both"/>
      </w:pPr>
    </w:p>
    <w:p w14:paraId="4EC249DE" w14:textId="77777777" w:rsidR="00094945" w:rsidRPr="00094945" w:rsidRDefault="00094945" w:rsidP="00094945">
      <w:pPr>
        <w:pStyle w:val="Paragraphedeliste"/>
        <w:numPr>
          <w:ilvl w:val="0"/>
          <w:numId w:val="48"/>
        </w:numPr>
        <w:spacing w:after="200"/>
        <w:ind w:left="567" w:hanging="283"/>
        <w:jc w:val="both"/>
        <w:rPr>
          <w:rFonts w:ascii="Times New Roman" w:hAnsi="Times New Roman"/>
          <w:sz w:val="24"/>
          <w:szCs w:val="24"/>
        </w:rPr>
      </w:pPr>
      <w:bookmarkStart w:id="3" w:name="_Hlk143084924"/>
      <w:r w:rsidRPr="00094945">
        <w:rPr>
          <w:rFonts w:ascii="Times New Roman" w:hAnsi="Times New Roman"/>
          <w:sz w:val="24"/>
          <w:szCs w:val="24"/>
        </w:rPr>
        <w:t>Faire l’état des lieux de la mise en œuvre de la Loi portant Charte Pastorale et de son Décret d’application</w:t>
      </w:r>
      <w:bookmarkEnd w:id="3"/>
      <w:r w:rsidRPr="00094945">
        <w:rPr>
          <w:rFonts w:ascii="Times New Roman" w:hAnsi="Times New Roman"/>
          <w:sz w:val="24"/>
          <w:szCs w:val="24"/>
        </w:rPr>
        <w:t xml:space="preserve"> ; </w:t>
      </w:r>
    </w:p>
    <w:p w14:paraId="0E989E3F" w14:textId="77777777" w:rsidR="00094945" w:rsidRPr="00094945" w:rsidRDefault="00094945" w:rsidP="00094945">
      <w:pPr>
        <w:pStyle w:val="Paragraphedeliste"/>
        <w:numPr>
          <w:ilvl w:val="0"/>
          <w:numId w:val="48"/>
        </w:numPr>
        <w:spacing w:after="200"/>
        <w:ind w:left="567" w:hanging="283"/>
        <w:jc w:val="both"/>
        <w:rPr>
          <w:rFonts w:ascii="Times New Roman" w:hAnsi="Times New Roman"/>
          <w:sz w:val="24"/>
          <w:szCs w:val="24"/>
        </w:rPr>
      </w:pPr>
      <w:bookmarkStart w:id="4" w:name="_Hlk143084961"/>
      <w:r w:rsidRPr="00094945">
        <w:rPr>
          <w:rFonts w:ascii="Times New Roman" w:hAnsi="Times New Roman"/>
          <w:sz w:val="24"/>
          <w:szCs w:val="24"/>
        </w:rPr>
        <w:t>Elaborer un projet de révision de la Loi portant Charte Pastorale en République du Mali</w:t>
      </w:r>
      <w:bookmarkEnd w:id="4"/>
      <w:r w:rsidRPr="00094945">
        <w:rPr>
          <w:rFonts w:ascii="Times New Roman" w:hAnsi="Times New Roman"/>
          <w:sz w:val="24"/>
          <w:szCs w:val="24"/>
        </w:rPr>
        <w:t> ;</w:t>
      </w:r>
    </w:p>
    <w:p w14:paraId="0FFB8D23" w14:textId="77777777" w:rsidR="00094945" w:rsidRPr="00094945" w:rsidRDefault="00094945" w:rsidP="00094945">
      <w:pPr>
        <w:pStyle w:val="Paragraphedeliste"/>
        <w:numPr>
          <w:ilvl w:val="0"/>
          <w:numId w:val="48"/>
        </w:numPr>
        <w:spacing w:after="200"/>
        <w:ind w:left="567" w:hanging="283"/>
        <w:jc w:val="both"/>
        <w:rPr>
          <w:rFonts w:ascii="Times New Roman" w:hAnsi="Times New Roman"/>
          <w:sz w:val="24"/>
          <w:szCs w:val="24"/>
        </w:rPr>
      </w:pPr>
      <w:bookmarkStart w:id="5" w:name="_Hlk143084982"/>
      <w:r w:rsidRPr="00094945">
        <w:rPr>
          <w:rFonts w:ascii="Times New Roman" w:hAnsi="Times New Roman"/>
          <w:sz w:val="24"/>
          <w:szCs w:val="24"/>
        </w:rPr>
        <w:t>Proposer un projet de révision du Décret d’application de la Loi portant Charte Pastorale</w:t>
      </w:r>
      <w:bookmarkEnd w:id="5"/>
      <w:r w:rsidRPr="00094945">
        <w:rPr>
          <w:rFonts w:ascii="Times New Roman" w:hAnsi="Times New Roman"/>
          <w:sz w:val="24"/>
          <w:szCs w:val="24"/>
        </w:rPr>
        <w:t> ;</w:t>
      </w:r>
    </w:p>
    <w:p w14:paraId="40623EAC" w14:textId="77777777" w:rsidR="00094945" w:rsidRPr="00094945" w:rsidRDefault="00094945" w:rsidP="00094945">
      <w:pPr>
        <w:pStyle w:val="Paragraphedeliste"/>
        <w:numPr>
          <w:ilvl w:val="0"/>
          <w:numId w:val="48"/>
        </w:numPr>
        <w:ind w:left="567" w:hanging="283"/>
        <w:jc w:val="both"/>
        <w:rPr>
          <w:rFonts w:ascii="Times New Roman" w:hAnsi="Times New Roman"/>
          <w:sz w:val="24"/>
          <w:szCs w:val="24"/>
        </w:rPr>
      </w:pPr>
      <w:bookmarkStart w:id="6" w:name="_Hlk143085007"/>
      <w:r w:rsidRPr="00094945">
        <w:rPr>
          <w:rFonts w:ascii="Times New Roman" w:hAnsi="Times New Roman"/>
          <w:sz w:val="24"/>
          <w:szCs w:val="24"/>
        </w:rPr>
        <w:t>Proposer les différents Arrêtés d’application du Décret</w:t>
      </w:r>
      <w:bookmarkEnd w:id="6"/>
      <w:r w:rsidRPr="00094945">
        <w:rPr>
          <w:rFonts w:ascii="Times New Roman" w:hAnsi="Times New Roman"/>
          <w:sz w:val="24"/>
          <w:szCs w:val="24"/>
        </w:rPr>
        <w:t> ;</w:t>
      </w:r>
    </w:p>
    <w:p w14:paraId="140B26DA" w14:textId="77777777" w:rsidR="00094945" w:rsidRPr="00094945" w:rsidRDefault="00094945" w:rsidP="00094945">
      <w:pPr>
        <w:pStyle w:val="Paragraphedeliste"/>
        <w:numPr>
          <w:ilvl w:val="0"/>
          <w:numId w:val="48"/>
        </w:numPr>
        <w:ind w:left="567" w:hanging="283"/>
        <w:jc w:val="both"/>
        <w:rPr>
          <w:rFonts w:ascii="Times New Roman" w:hAnsi="Times New Roman"/>
          <w:sz w:val="24"/>
          <w:szCs w:val="24"/>
        </w:rPr>
      </w:pPr>
      <w:bookmarkStart w:id="7" w:name="_Hlk143085066"/>
      <w:r w:rsidRPr="00094945">
        <w:rPr>
          <w:rFonts w:ascii="Times New Roman" w:hAnsi="Times New Roman"/>
          <w:sz w:val="24"/>
          <w:szCs w:val="24"/>
        </w:rPr>
        <w:t>Organiser un atelier national de validation des textes élaborés</w:t>
      </w:r>
      <w:bookmarkEnd w:id="7"/>
      <w:r w:rsidRPr="00094945">
        <w:rPr>
          <w:rFonts w:ascii="Times New Roman" w:hAnsi="Times New Roman"/>
          <w:sz w:val="24"/>
          <w:szCs w:val="24"/>
        </w:rPr>
        <w:t>.</w:t>
      </w:r>
    </w:p>
    <w:p w14:paraId="24DB091C" w14:textId="77777777" w:rsidR="00D86933" w:rsidRPr="00094945" w:rsidRDefault="00D86933" w:rsidP="005E436C">
      <w:pPr>
        <w:jc w:val="both"/>
      </w:pPr>
    </w:p>
    <w:p w14:paraId="3FDD0A38" w14:textId="40F20D22"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20426F">
        <w:rPr>
          <w:bCs/>
        </w:rPr>
        <w:t>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w:t>
      </w:r>
      <w:r w:rsidR="003A44C5" w:rsidRPr="00711542">
        <w:lastRenderedPageBreak/>
        <w:t xml:space="preserve">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8" w:name="_Hlk521323468"/>
      <w:r w:rsidR="00711542">
        <w:t>Règlement de Passation des Marchés pour les Emprunteurs sollicitant le Financement de Projets (FPI</w:t>
      </w:r>
      <w:bookmarkEnd w:id="8"/>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601A94CB"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w:t>
      </w:r>
      <w:r w:rsidR="00ED6972">
        <w:t xml:space="preserve"> </w:t>
      </w:r>
      <w:r w:rsidR="006E10EE">
        <w:rPr>
          <w:b/>
        </w:rPr>
        <w:t>2</w:t>
      </w:r>
      <w:r w:rsidR="00ED6972">
        <w:rPr>
          <w:b/>
        </w:rPr>
        <w:t>6</w:t>
      </w:r>
      <w:r w:rsidR="0013049F">
        <w:rPr>
          <w:b/>
        </w:rPr>
        <w:t xml:space="preserve"> </w:t>
      </w:r>
      <w:r w:rsidR="00A77364">
        <w:rPr>
          <w:b/>
        </w:rPr>
        <w:t>Septembre</w:t>
      </w:r>
      <w:r w:rsidR="00881DD5">
        <w:rPr>
          <w:b/>
        </w:rPr>
        <w:t xml:space="preserve"> </w:t>
      </w:r>
      <w:r w:rsidR="00D86933" w:rsidRPr="00D77729">
        <w:rPr>
          <w:b/>
        </w:rPr>
        <w:t>202</w:t>
      </w:r>
      <w:r w:rsidR="0013049F">
        <w:rPr>
          <w:b/>
        </w:rPr>
        <w:t>3</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50359BB4" w:rsidR="00C7495E" w:rsidRPr="006E10EE"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6E10EE">
        <w:rPr>
          <w:rFonts w:ascii="Times New Roman" w:hAnsi="Times New Roman"/>
          <w:sz w:val="24"/>
          <w:szCs w:val="24"/>
        </w:rPr>
        <w:t>« </w:t>
      </w:r>
      <w:r w:rsidR="00767BE8" w:rsidRPr="00767BE8">
        <w:rPr>
          <w:rFonts w:ascii="Times New Roman" w:eastAsia="Calibri" w:hAnsi="Times New Roman"/>
          <w:b/>
          <w:bCs/>
          <w:sz w:val="24"/>
          <w:szCs w:val="24"/>
          <w:lang w:val="fr-MC"/>
        </w:rPr>
        <w:t xml:space="preserve">Recrutement d’un Bureau pour </w:t>
      </w:r>
      <w:r w:rsidR="00767BE8" w:rsidRPr="00767BE8">
        <w:rPr>
          <w:rFonts w:ascii="Times New Roman" w:hAnsi="Times New Roman"/>
          <w:b/>
          <w:bCs/>
          <w:sz w:val="24"/>
          <w:szCs w:val="24"/>
        </w:rPr>
        <w:t>la relecture du décret portant charte pastorale en République du Mali</w:t>
      </w:r>
      <w:r w:rsidR="00767BE8" w:rsidRPr="006E10EE">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5144DDA6" w:rsidR="00CB1C38" w:rsidRPr="00FE4936" w:rsidRDefault="00CB1C38" w:rsidP="00C404D3">
      <w:pPr>
        <w:widowControl w:val="0"/>
        <w:tabs>
          <w:tab w:val="right" w:pos="7254"/>
        </w:tabs>
        <w:autoSpaceDE w:val="0"/>
        <w:autoSpaceDN w:val="0"/>
        <w:adjustRightInd w:val="0"/>
        <w:ind w:left="567"/>
        <w:jc w:val="both"/>
        <w:rPr>
          <w:color w:val="FF0000"/>
        </w:rPr>
      </w:pPr>
      <w:r w:rsidRPr="00C46072">
        <w:t xml:space="preserve">Projet </w:t>
      </w:r>
      <w:r>
        <w:t xml:space="preserve">Régional </w:t>
      </w:r>
      <w:r w:rsidRPr="00C46072">
        <w:t xml:space="preserve">d’Appui au </w:t>
      </w:r>
      <w:r>
        <w:t>Pastoralisme au Sahel</w:t>
      </w:r>
      <w:r w:rsidRPr="00C46072">
        <w:t xml:space="preserve"> au Mali</w:t>
      </w:r>
      <w:r>
        <w:t xml:space="preserve"> </w:t>
      </w:r>
      <w:r w:rsidR="00FE4936" w:rsidRPr="00704B0D">
        <w:t xml:space="preserve">Phase </w:t>
      </w:r>
      <w:r w:rsidR="00704B0D">
        <w:t>II</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41BD1829"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74 41 93 04</w:t>
      </w:r>
      <w:r>
        <w:rPr>
          <w:bCs/>
        </w:rPr>
        <w:t>/66 75 80 51</w:t>
      </w:r>
      <w:r w:rsidR="0090657D">
        <w:rPr>
          <w:bCs/>
        </w:rPr>
        <w:t>/76 18 11 42</w:t>
      </w:r>
    </w:p>
    <w:p w14:paraId="1EED64ED" w14:textId="543F5B60" w:rsidR="00786B93" w:rsidRDefault="00786B93" w:rsidP="00C404D3">
      <w:pPr>
        <w:widowControl w:val="0"/>
        <w:tabs>
          <w:tab w:val="right" w:pos="7254"/>
        </w:tabs>
        <w:autoSpaceDE w:val="0"/>
        <w:autoSpaceDN w:val="0"/>
        <w:adjustRightInd w:val="0"/>
        <w:ind w:left="567"/>
        <w:jc w:val="both"/>
        <w:rPr>
          <w:bCs/>
        </w:rPr>
      </w:pPr>
      <w:r>
        <w:rPr>
          <w:bCs/>
        </w:rPr>
        <w:t>Email :</w:t>
      </w:r>
      <w:r w:rsidR="00EC1270">
        <w:rPr>
          <w:bCs/>
        </w:rPr>
        <w:t xml:space="preserve"> </w:t>
      </w:r>
      <w:hyperlink r:id="rId8" w:history="1">
        <w:r w:rsidR="00EC1270" w:rsidRPr="00B92A3A">
          <w:rPr>
            <w:rStyle w:val="Lienhypertexte"/>
            <w:bCs/>
          </w:rPr>
          <w:t>mouscoul79@yahoo.fr</w:t>
        </w:r>
      </w:hyperlink>
      <w:r w:rsidR="00EC1270">
        <w:rPr>
          <w:bCs/>
        </w:rPr>
        <w:t xml:space="preserve"> avec copie à </w:t>
      </w:r>
      <w:hyperlink r:id="rId9" w:history="1">
        <w:r w:rsidR="00EF034F" w:rsidRPr="00403752">
          <w:rPr>
            <w:rStyle w:val="Lienhypertexte"/>
            <w:bCs/>
          </w:rPr>
          <w:t>fatoumata.bocoum@prapsmali.ml</w:t>
        </w:r>
      </w:hyperlink>
      <w:r w:rsidR="00EF034F">
        <w:rPr>
          <w:bCs/>
        </w:rPr>
        <w:t xml:space="preserve"> </w:t>
      </w:r>
      <w:r w:rsidR="00EC1270">
        <w:rPr>
          <w:bCs/>
        </w:rPr>
        <w:t>et</w:t>
      </w:r>
      <w:r>
        <w:rPr>
          <w:bCs/>
        </w:rPr>
        <w:t xml:space="preserve"> </w:t>
      </w:r>
      <w:hyperlink r:id="rId10"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E22E2E">
      <w:footerReference w:type="default" r:id="rId11"/>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1A5D" w14:textId="77777777" w:rsidR="006D45C2" w:rsidRDefault="006D45C2">
      <w:r>
        <w:separator/>
      </w:r>
    </w:p>
  </w:endnote>
  <w:endnote w:type="continuationSeparator" w:id="0">
    <w:p w14:paraId="5270898A" w14:textId="77777777" w:rsidR="006D45C2" w:rsidRDefault="006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A05F" w14:textId="77777777" w:rsidR="006D45C2" w:rsidRDefault="006D45C2">
      <w:r>
        <w:separator/>
      </w:r>
    </w:p>
  </w:footnote>
  <w:footnote w:type="continuationSeparator" w:id="0">
    <w:p w14:paraId="52A4C404" w14:textId="77777777" w:rsidR="006D45C2" w:rsidRDefault="006D45C2">
      <w:r>
        <w:continuationSeparator/>
      </w:r>
    </w:p>
  </w:footnote>
  <w:footnote w:id="1">
    <w:p w14:paraId="593AA960" w14:textId="35CE0714" w:rsidR="006E3301" w:rsidRPr="006E3301" w:rsidRDefault="006E3301" w:rsidP="00524153">
      <w:pPr>
        <w:pStyle w:val="Notedebasdepage"/>
        <w:jc w:val="both"/>
        <w:rPr>
          <w:lang w:val="fr-FR"/>
        </w:rPr>
      </w:pPr>
      <w:r>
        <w:rPr>
          <w:rStyle w:val="Appelnotedebasdep"/>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F45E8"/>
    <w:multiLevelType w:val="hybridMultilevel"/>
    <w:tmpl w:val="3020A398"/>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6"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E3371F1"/>
    <w:multiLevelType w:val="hybridMultilevel"/>
    <w:tmpl w:val="6E566C60"/>
    <w:lvl w:ilvl="0" w:tplc="2D0A59E2">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2479E8"/>
    <w:multiLevelType w:val="hybridMultilevel"/>
    <w:tmpl w:val="7460280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6"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441919299">
    <w:abstractNumId w:val="15"/>
  </w:num>
  <w:num w:numId="2" w16cid:durableId="1209296144">
    <w:abstractNumId w:val="19"/>
  </w:num>
  <w:num w:numId="3" w16cid:durableId="410543717">
    <w:abstractNumId w:val="40"/>
  </w:num>
  <w:num w:numId="4" w16cid:durableId="1927109666">
    <w:abstractNumId w:val="6"/>
  </w:num>
  <w:num w:numId="5" w16cid:durableId="1396781571">
    <w:abstractNumId w:val="10"/>
  </w:num>
  <w:num w:numId="6" w16cid:durableId="1670597838">
    <w:abstractNumId w:val="11"/>
  </w:num>
  <w:num w:numId="7" w16cid:durableId="2024240934">
    <w:abstractNumId w:val="32"/>
  </w:num>
  <w:num w:numId="8" w16cid:durableId="54090209">
    <w:abstractNumId w:val="27"/>
  </w:num>
  <w:num w:numId="9" w16cid:durableId="350649199">
    <w:abstractNumId w:val="24"/>
  </w:num>
  <w:num w:numId="10" w16cid:durableId="1511795750">
    <w:abstractNumId w:val="25"/>
  </w:num>
  <w:num w:numId="11" w16cid:durableId="754472364">
    <w:abstractNumId w:val="42"/>
  </w:num>
  <w:num w:numId="12" w16cid:durableId="1136144414">
    <w:abstractNumId w:val="41"/>
  </w:num>
  <w:num w:numId="13" w16cid:durableId="1412850532">
    <w:abstractNumId w:val="29"/>
  </w:num>
  <w:num w:numId="14" w16cid:durableId="696783177">
    <w:abstractNumId w:val="36"/>
  </w:num>
  <w:num w:numId="15" w16cid:durableId="1879317725">
    <w:abstractNumId w:val="14"/>
  </w:num>
  <w:num w:numId="16" w16cid:durableId="398869285">
    <w:abstractNumId w:val="22"/>
  </w:num>
  <w:num w:numId="17" w16cid:durableId="1123231192">
    <w:abstractNumId w:val="4"/>
  </w:num>
  <w:num w:numId="18" w16cid:durableId="767698854">
    <w:abstractNumId w:val="21"/>
  </w:num>
  <w:num w:numId="19" w16cid:durableId="1371539030">
    <w:abstractNumId w:val="46"/>
  </w:num>
  <w:num w:numId="20" w16cid:durableId="2038770682">
    <w:abstractNumId w:val="5"/>
  </w:num>
  <w:num w:numId="21" w16cid:durableId="2132238462">
    <w:abstractNumId w:val="28"/>
  </w:num>
  <w:num w:numId="22" w16cid:durableId="589436487">
    <w:abstractNumId w:val="1"/>
  </w:num>
  <w:num w:numId="23" w16cid:durableId="831026389">
    <w:abstractNumId w:val="12"/>
  </w:num>
  <w:num w:numId="24" w16cid:durableId="769617172">
    <w:abstractNumId w:val="31"/>
  </w:num>
  <w:num w:numId="25" w16cid:durableId="1235432972">
    <w:abstractNumId w:val="9"/>
  </w:num>
  <w:num w:numId="26" w16cid:durableId="383674479">
    <w:abstractNumId w:val="7"/>
  </w:num>
  <w:num w:numId="27" w16cid:durableId="1780756190">
    <w:abstractNumId w:val="30"/>
  </w:num>
  <w:num w:numId="28" w16cid:durableId="1687947242">
    <w:abstractNumId w:val="34"/>
  </w:num>
  <w:num w:numId="29" w16cid:durableId="1661303635">
    <w:abstractNumId w:val="45"/>
  </w:num>
  <w:num w:numId="30" w16cid:durableId="1975017446">
    <w:abstractNumId w:val="13"/>
  </w:num>
  <w:num w:numId="31" w16cid:durableId="51008664">
    <w:abstractNumId w:val="23"/>
  </w:num>
  <w:num w:numId="32" w16cid:durableId="2069835214">
    <w:abstractNumId w:val="3"/>
  </w:num>
  <w:num w:numId="33" w16cid:durableId="2077125331">
    <w:abstractNumId w:val="2"/>
  </w:num>
  <w:num w:numId="34" w16cid:durableId="1429734402">
    <w:abstractNumId w:val="44"/>
  </w:num>
  <w:num w:numId="35" w16cid:durableId="596643939">
    <w:abstractNumId w:val="35"/>
  </w:num>
  <w:num w:numId="36" w16cid:durableId="1995798415">
    <w:abstractNumId w:val="26"/>
  </w:num>
  <w:num w:numId="37" w16cid:durableId="1592616387">
    <w:abstractNumId w:val="43"/>
  </w:num>
  <w:num w:numId="38" w16cid:durableId="581333801">
    <w:abstractNumId w:val="0"/>
  </w:num>
  <w:num w:numId="39" w16cid:durableId="1686907213">
    <w:abstractNumId w:val="33"/>
  </w:num>
  <w:num w:numId="40" w16cid:durableId="1758670208">
    <w:abstractNumId w:val="39"/>
  </w:num>
  <w:num w:numId="41" w16cid:durableId="928656334">
    <w:abstractNumId w:val="17"/>
  </w:num>
  <w:num w:numId="42" w16cid:durableId="745735146">
    <w:abstractNumId w:val="20"/>
  </w:num>
  <w:num w:numId="43" w16cid:durableId="364839204">
    <w:abstractNumId w:val="18"/>
  </w:num>
  <w:num w:numId="44" w16cid:durableId="1784642563">
    <w:abstractNumId w:val="8"/>
  </w:num>
  <w:num w:numId="45" w16cid:durableId="805120110">
    <w:abstractNumId w:val="37"/>
  </w:num>
  <w:num w:numId="46" w16cid:durableId="1279797961">
    <w:abstractNumId w:val="37"/>
  </w:num>
  <w:num w:numId="47" w16cid:durableId="1683437215">
    <w:abstractNumId w:val="16"/>
  </w:num>
  <w:num w:numId="48" w16cid:durableId="20851842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465AA"/>
    <w:rsid w:val="00056AE1"/>
    <w:rsid w:val="00062E19"/>
    <w:rsid w:val="000830CD"/>
    <w:rsid w:val="00087312"/>
    <w:rsid w:val="00094945"/>
    <w:rsid w:val="000975B1"/>
    <w:rsid w:val="000A6232"/>
    <w:rsid w:val="000A78CA"/>
    <w:rsid w:val="000C7FE5"/>
    <w:rsid w:val="000E7B3B"/>
    <w:rsid w:val="001121AB"/>
    <w:rsid w:val="00112D9C"/>
    <w:rsid w:val="00113E85"/>
    <w:rsid w:val="00115931"/>
    <w:rsid w:val="001230A5"/>
    <w:rsid w:val="001245D6"/>
    <w:rsid w:val="0013049F"/>
    <w:rsid w:val="00131B8F"/>
    <w:rsid w:val="00132244"/>
    <w:rsid w:val="00142C2B"/>
    <w:rsid w:val="001435F3"/>
    <w:rsid w:val="001446C4"/>
    <w:rsid w:val="00144ACF"/>
    <w:rsid w:val="00152393"/>
    <w:rsid w:val="00153007"/>
    <w:rsid w:val="00157C7E"/>
    <w:rsid w:val="00163ACA"/>
    <w:rsid w:val="00167EFC"/>
    <w:rsid w:val="00173CC2"/>
    <w:rsid w:val="00183398"/>
    <w:rsid w:val="00185A6C"/>
    <w:rsid w:val="00187232"/>
    <w:rsid w:val="00192A4D"/>
    <w:rsid w:val="00192E39"/>
    <w:rsid w:val="00193293"/>
    <w:rsid w:val="001A4BB2"/>
    <w:rsid w:val="001B7BAF"/>
    <w:rsid w:val="001C1900"/>
    <w:rsid w:val="001C4E02"/>
    <w:rsid w:val="001D3EE1"/>
    <w:rsid w:val="001E0292"/>
    <w:rsid w:val="001E1489"/>
    <w:rsid w:val="001E631B"/>
    <w:rsid w:val="001F5D53"/>
    <w:rsid w:val="0020203B"/>
    <w:rsid w:val="0020426F"/>
    <w:rsid w:val="002169A9"/>
    <w:rsid w:val="00223E9F"/>
    <w:rsid w:val="00233274"/>
    <w:rsid w:val="00260F5C"/>
    <w:rsid w:val="00270BA4"/>
    <w:rsid w:val="00272788"/>
    <w:rsid w:val="0028291E"/>
    <w:rsid w:val="002877A9"/>
    <w:rsid w:val="002938CA"/>
    <w:rsid w:val="002A3136"/>
    <w:rsid w:val="002A668B"/>
    <w:rsid w:val="002A7D9D"/>
    <w:rsid w:val="002B4AEB"/>
    <w:rsid w:val="002C2405"/>
    <w:rsid w:val="002C308B"/>
    <w:rsid w:val="002D1929"/>
    <w:rsid w:val="002D3FF9"/>
    <w:rsid w:val="002E4E89"/>
    <w:rsid w:val="003055AB"/>
    <w:rsid w:val="0031183A"/>
    <w:rsid w:val="0032031F"/>
    <w:rsid w:val="003317BD"/>
    <w:rsid w:val="00332B59"/>
    <w:rsid w:val="00343C6E"/>
    <w:rsid w:val="003517E7"/>
    <w:rsid w:val="00355E8E"/>
    <w:rsid w:val="003645DC"/>
    <w:rsid w:val="003650F1"/>
    <w:rsid w:val="00386927"/>
    <w:rsid w:val="00396836"/>
    <w:rsid w:val="003A44C5"/>
    <w:rsid w:val="003A7703"/>
    <w:rsid w:val="003B43E9"/>
    <w:rsid w:val="003B4F69"/>
    <w:rsid w:val="003C1DEB"/>
    <w:rsid w:val="00405EE1"/>
    <w:rsid w:val="00411465"/>
    <w:rsid w:val="00413ED1"/>
    <w:rsid w:val="00433EED"/>
    <w:rsid w:val="00434EDE"/>
    <w:rsid w:val="00440A3A"/>
    <w:rsid w:val="00456B0F"/>
    <w:rsid w:val="0045701F"/>
    <w:rsid w:val="004641EE"/>
    <w:rsid w:val="00474B71"/>
    <w:rsid w:val="0048417E"/>
    <w:rsid w:val="00485BC4"/>
    <w:rsid w:val="00486988"/>
    <w:rsid w:val="004962ED"/>
    <w:rsid w:val="004A3A7D"/>
    <w:rsid w:val="004A4E63"/>
    <w:rsid w:val="004B16CA"/>
    <w:rsid w:val="004B2159"/>
    <w:rsid w:val="004B27EF"/>
    <w:rsid w:val="004C04A3"/>
    <w:rsid w:val="004C1F04"/>
    <w:rsid w:val="004C1FC7"/>
    <w:rsid w:val="004D460A"/>
    <w:rsid w:val="004E494C"/>
    <w:rsid w:val="004E713B"/>
    <w:rsid w:val="005105F2"/>
    <w:rsid w:val="00524153"/>
    <w:rsid w:val="00530D08"/>
    <w:rsid w:val="00562F97"/>
    <w:rsid w:val="00563A66"/>
    <w:rsid w:val="00564A8B"/>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77"/>
    <w:rsid w:val="005E16AA"/>
    <w:rsid w:val="005E436C"/>
    <w:rsid w:val="005E5F9D"/>
    <w:rsid w:val="005F7F60"/>
    <w:rsid w:val="00601FE9"/>
    <w:rsid w:val="00603BF4"/>
    <w:rsid w:val="00603D07"/>
    <w:rsid w:val="00624AE5"/>
    <w:rsid w:val="006257EF"/>
    <w:rsid w:val="006424EB"/>
    <w:rsid w:val="00650B67"/>
    <w:rsid w:val="00651C9E"/>
    <w:rsid w:val="00663C4A"/>
    <w:rsid w:val="00667220"/>
    <w:rsid w:val="00670B3D"/>
    <w:rsid w:val="00670F44"/>
    <w:rsid w:val="00686CF8"/>
    <w:rsid w:val="00695476"/>
    <w:rsid w:val="00695875"/>
    <w:rsid w:val="0069605E"/>
    <w:rsid w:val="006972C5"/>
    <w:rsid w:val="006A107C"/>
    <w:rsid w:val="006A4201"/>
    <w:rsid w:val="006C004B"/>
    <w:rsid w:val="006C2341"/>
    <w:rsid w:val="006D256E"/>
    <w:rsid w:val="006D2CF5"/>
    <w:rsid w:val="006D39E8"/>
    <w:rsid w:val="006D45C2"/>
    <w:rsid w:val="006D75F3"/>
    <w:rsid w:val="006E10EE"/>
    <w:rsid w:val="006E1357"/>
    <w:rsid w:val="006E3301"/>
    <w:rsid w:val="006F6B45"/>
    <w:rsid w:val="00704190"/>
    <w:rsid w:val="00704B0D"/>
    <w:rsid w:val="0070548B"/>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67BE8"/>
    <w:rsid w:val="00777071"/>
    <w:rsid w:val="0078258E"/>
    <w:rsid w:val="00782754"/>
    <w:rsid w:val="00784E0F"/>
    <w:rsid w:val="00786B93"/>
    <w:rsid w:val="007A230B"/>
    <w:rsid w:val="007C3606"/>
    <w:rsid w:val="007D166C"/>
    <w:rsid w:val="007E004F"/>
    <w:rsid w:val="007E09F3"/>
    <w:rsid w:val="007F1E4E"/>
    <w:rsid w:val="007F7115"/>
    <w:rsid w:val="00800B04"/>
    <w:rsid w:val="00804D28"/>
    <w:rsid w:val="00807101"/>
    <w:rsid w:val="00820199"/>
    <w:rsid w:val="008447B6"/>
    <w:rsid w:val="00846E99"/>
    <w:rsid w:val="008508CE"/>
    <w:rsid w:val="00855050"/>
    <w:rsid w:val="0086125E"/>
    <w:rsid w:val="00861535"/>
    <w:rsid w:val="008619B7"/>
    <w:rsid w:val="0086659E"/>
    <w:rsid w:val="00881DD5"/>
    <w:rsid w:val="00892EF8"/>
    <w:rsid w:val="0089493E"/>
    <w:rsid w:val="008A1A55"/>
    <w:rsid w:val="008A49BE"/>
    <w:rsid w:val="008A56D1"/>
    <w:rsid w:val="008C3521"/>
    <w:rsid w:val="008D1897"/>
    <w:rsid w:val="008D277C"/>
    <w:rsid w:val="008D7197"/>
    <w:rsid w:val="008E217F"/>
    <w:rsid w:val="008F02C6"/>
    <w:rsid w:val="008F5FB1"/>
    <w:rsid w:val="008F6CFF"/>
    <w:rsid w:val="008F7E1E"/>
    <w:rsid w:val="00903BB9"/>
    <w:rsid w:val="009047D6"/>
    <w:rsid w:val="0090657D"/>
    <w:rsid w:val="009107C8"/>
    <w:rsid w:val="00912D22"/>
    <w:rsid w:val="009154B6"/>
    <w:rsid w:val="00916E37"/>
    <w:rsid w:val="009260A6"/>
    <w:rsid w:val="0093654A"/>
    <w:rsid w:val="009437EE"/>
    <w:rsid w:val="00972B23"/>
    <w:rsid w:val="00975008"/>
    <w:rsid w:val="00977BD7"/>
    <w:rsid w:val="0098584E"/>
    <w:rsid w:val="00991C85"/>
    <w:rsid w:val="009A0C15"/>
    <w:rsid w:val="009A7A2F"/>
    <w:rsid w:val="009B7874"/>
    <w:rsid w:val="009C2EB9"/>
    <w:rsid w:val="009D31EE"/>
    <w:rsid w:val="009D4555"/>
    <w:rsid w:val="009E31B0"/>
    <w:rsid w:val="009E3684"/>
    <w:rsid w:val="009E793F"/>
    <w:rsid w:val="00A10016"/>
    <w:rsid w:val="00A12488"/>
    <w:rsid w:val="00A1357C"/>
    <w:rsid w:val="00A14120"/>
    <w:rsid w:val="00A17377"/>
    <w:rsid w:val="00A17A8D"/>
    <w:rsid w:val="00A2403C"/>
    <w:rsid w:val="00A3293D"/>
    <w:rsid w:val="00A33AD1"/>
    <w:rsid w:val="00A362DB"/>
    <w:rsid w:val="00A4736E"/>
    <w:rsid w:val="00A54D88"/>
    <w:rsid w:val="00A607E6"/>
    <w:rsid w:val="00A61CEF"/>
    <w:rsid w:val="00A6644B"/>
    <w:rsid w:val="00A740B1"/>
    <w:rsid w:val="00A77195"/>
    <w:rsid w:val="00A77364"/>
    <w:rsid w:val="00A77876"/>
    <w:rsid w:val="00A959AF"/>
    <w:rsid w:val="00AA19B2"/>
    <w:rsid w:val="00AB4FC4"/>
    <w:rsid w:val="00AC0984"/>
    <w:rsid w:val="00AF11A3"/>
    <w:rsid w:val="00AF56B0"/>
    <w:rsid w:val="00AF5C54"/>
    <w:rsid w:val="00AF7267"/>
    <w:rsid w:val="00B14348"/>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84E25"/>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2AF7"/>
    <w:rsid w:val="00D77756"/>
    <w:rsid w:val="00D85B0D"/>
    <w:rsid w:val="00D86933"/>
    <w:rsid w:val="00DA200C"/>
    <w:rsid w:val="00DA6BDD"/>
    <w:rsid w:val="00DA7476"/>
    <w:rsid w:val="00DB1292"/>
    <w:rsid w:val="00DC07C5"/>
    <w:rsid w:val="00DC095E"/>
    <w:rsid w:val="00DC4353"/>
    <w:rsid w:val="00DD0BAA"/>
    <w:rsid w:val="00DD1865"/>
    <w:rsid w:val="00DD61BC"/>
    <w:rsid w:val="00DE5E3D"/>
    <w:rsid w:val="00DE6919"/>
    <w:rsid w:val="00DF43A7"/>
    <w:rsid w:val="00DF6ED3"/>
    <w:rsid w:val="00E019C0"/>
    <w:rsid w:val="00E07E34"/>
    <w:rsid w:val="00E14AE6"/>
    <w:rsid w:val="00E15A0C"/>
    <w:rsid w:val="00E22E2E"/>
    <w:rsid w:val="00E2447A"/>
    <w:rsid w:val="00E31369"/>
    <w:rsid w:val="00E337C7"/>
    <w:rsid w:val="00E41D02"/>
    <w:rsid w:val="00E43DFA"/>
    <w:rsid w:val="00E4645C"/>
    <w:rsid w:val="00E51737"/>
    <w:rsid w:val="00E53C75"/>
    <w:rsid w:val="00E56A3F"/>
    <w:rsid w:val="00E605F1"/>
    <w:rsid w:val="00E6332F"/>
    <w:rsid w:val="00E75269"/>
    <w:rsid w:val="00E7660E"/>
    <w:rsid w:val="00E769B1"/>
    <w:rsid w:val="00E825B6"/>
    <w:rsid w:val="00E92DCF"/>
    <w:rsid w:val="00E9712E"/>
    <w:rsid w:val="00EA1659"/>
    <w:rsid w:val="00EA29B3"/>
    <w:rsid w:val="00EC01AF"/>
    <w:rsid w:val="00EC0366"/>
    <w:rsid w:val="00EC1270"/>
    <w:rsid w:val="00EC3DDC"/>
    <w:rsid w:val="00EC4097"/>
    <w:rsid w:val="00ED3140"/>
    <w:rsid w:val="00ED36D1"/>
    <w:rsid w:val="00ED3F97"/>
    <w:rsid w:val="00ED4D78"/>
    <w:rsid w:val="00ED588A"/>
    <w:rsid w:val="00ED6972"/>
    <w:rsid w:val="00EE10AC"/>
    <w:rsid w:val="00EE111D"/>
    <w:rsid w:val="00EF034F"/>
    <w:rsid w:val="00EF57BE"/>
    <w:rsid w:val="00F0477E"/>
    <w:rsid w:val="00F154E0"/>
    <w:rsid w:val="00F36E0E"/>
    <w:rsid w:val="00F425CB"/>
    <w:rsid w:val="00F54FE7"/>
    <w:rsid w:val="00F56D3C"/>
    <w:rsid w:val="00F61E55"/>
    <w:rsid w:val="00F636FF"/>
    <w:rsid w:val="00F64C87"/>
    <w:rsid w:val="00F70E95"/>
    <w:rsid w:val="00F71FB7"/>
    <w:rsid w:val="00F778B3"/>
    <w:rsid w:val="00F820F9"/>
    <w:rsid w:val="00F84418"/>
    <w:rsid w:val="00F87140"/>
    <w:rsid w:val="00F87C14"/>
    <w:rsid w:val="00F94027"/>
    <w:rsid w:val="00F9720E"/>
    <w:rsid w:val="00F97B74"/>
    <w:rsid w:val="00FA540D"/>
    <w:rsid w:val="00FB448B"/>
    <w:rsid w:val="00FC52A0"/>
    <w:rsid w:val="00FD16D7"/>
    <w:rsid w:val="00FD1E5D"/>
    <w:rsid w:val="00FE0598"/>
    <w:rsid w:val="00FE4936"/>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character" w:styleId="Mentionnonrsolue">
    <w:name w:val="Unresolved Mention"/>
    <w:basedOn w:val="Policepardfaut"/>
    <w:uiPriority w:val="99"/>
    <w:semiHidden/>
    <w:unhideWhenUsed/>
    <w:rsid w:val="00EC1270"/>
    <w:rPr>
      <w:color w:val="605E5C"/>
      <w:shd w:val="clear" w:color="auto" w:fill="E1DFDD"/>
    </w:rPr>
  </w:style>
  <w:style w:type="paragraph" w:customStyle="1" w:styleId="Puce1DDM">
    <w:name w:val="Puce 1 DDM"/>
    <w:basedOn w:val="Normal"/>
    <w:qFormat/>
    <w:rsid w:val="00E4645C"/>
    <w:pPr>
      <w:spacing w:before="40"/>
      <w:jc w:val="both"/>
    </w:pPr>
    <w:rPr>
      <w:rFonts w:ascii="Calibri" w:eastAsia="MS Mincho" w:hAnsi="Calibri"/>
      <w:sz w:val="22"/>
      <w:szCs w:val="22"/>
      <w:lang w:val="fr-CA"/>
    </w:rPr>
  </w:style>
  <w:style w:type="character" w:styleId="Accentuation">
    <w:name w:val="Emphasis"/>
    <w:basedOn w:val="Policepardfaut"/>
    <w:uiPriority w:val="20"/>
    <w:qFormat/>
    <w:rsid w:val="002B4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scoul79@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bakary57@yahoo.fr" TargetMode="External"/><Relationship Id="rId4" Type="http://schemas.openxmlformats.org/officeDocument/2006/relationships/settings" Target="settings.xml"/><Relationship Id="rId9" Type="http://schemas.openxmlformats.org/officeDocument/2006/relationships/hyperlink" Target="mailto:fatoumata.bocoum@prapsmali.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7FF1-BBAB-4E71-975E-1D7EBCBD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1449</Words>
  <Characters>7971</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3</cp:revision>
  <cp:lastPrinted>2021-04-16T12:20:00Z</cp:lastPrinted>
  <dcterms:created xsi:type="dcterms:W3CDTF">2023-09-06T11:45:00Z</dcterms:created>
  <dcterms:modified xsi:type="dcterms:W3CDTF">2023-09-06T11:46:00Z</dcterms:modified>
</cp:coreProperties>
</file>