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837B4" w14:textId="77777777" w:rsidR="0028291E" w:rsidRPr="0028291E" w:rsidRDefault="0028291E" w:rsidP="0028291E">
      <w:pPr>
        <w:pStyle w:val="Titre3"/>
        <w:rPr>
          <w:szCs w:val="32"/>
        </w:rPr>
      </w:pPr>
      <w:r w:rsidRPr="0028291E">
        <w:rPr>
          <w:szCs w:val="32"/>
        </w:rPr>
        <w:t>Avis de Manifestation d’intérêt</w:t>
      </w:r>
    </w:p>
    <w:p w14:paraId="3E8837B5" w14:textId="77777777" w:rsidR="0028291E" w:rsidRDefault="0028291E" w:rsidP="00EC4097">
      <w:pPr>
        <w:suppressAutoHyphens/>
        <w:jc w:val="center"/>
        <w:rPr>
          <w:b/>
          <w:sz w:val="32"/>
        </w:rPr>
      </w:pPr>
    </w:p>
    <w:p w14:paraId="3E8837B6" w14:textId="77777777" w:rsidR="00EC4097" w:rsidRDefault="00EC4097" w:rsidP="00EC4097">
      <w:pPr>
        <w:suppressAutoHyphens/>
        <w:jc w:val="center"/>
        <w:rPr>
          <w:b/>
          <w:sz w:val="32"/>
        </w:rPr>
      </w:pPr>
      <w:r>
        <w:rPr>
          <w:b/>
          <w:sz w:val="32"/>
        </w:rPr>
        <w:t>République du Mali</w:t>
      </w:r>
    </w:p>
    <w:p w14:paraId="3E8837B7" w14:textId="77777777" w:rsidR="00565827" w:rsidRDefault="00565827" w:rsidP="00EC4097">
      <w:pPr>
        <w:suppressAutoHyphens/>
        <w:jc w:val="center"/>
        <w:rPr>
          <w:b/>
          <w:sz w:val="32"/>
        </w:rPr>
      </w:pPr>
    </w:p>
    <w:p w14:paraId="3E8837B8" w14:textId="6031CA2D" w:rsidR="008F02C6" w:rsidRDefault="008F02C6" w:rsidP="00EC4097">
      <w:pPr>
        <w:suppressAutoHyphens/>
        <w:jc w:val="center"/>
        <w:rPr>
          <w:b/>
          <w:sz w:val="32"/>
        </w:rPr>
      </w:pPr>
      <w:r>
        <w:rPr>
          <w:b/>
          <w:sz w:val="32"/>
        </w:rPr>
        <w:t xml:space="preserve">MINISTERE </w:t>
      </w:r>
      <w:r w:rsidR="00A959AF">
        <w:rPr>
          <w:b/>
          <w:sz w:val="32"/>
        </w:rPr>
        <w:t>D</w:t>
      </w:r>
      <w:r w:rsidR="004C09F6">
        <w:rPr>
          <w:b/>
          <w:sz w:val="32"/>
        </w:rPr>
        <w:t>E L’ELEVAGE ET DE LA PECHE</w:t>
      </w:r>
    </w:p>
    <w:p w14:paraId="3E8837B9" w14:textId="77777777" w:rsidR="008F02C6" w:rsidRDefault="008F02C6" w:rsidP="00EC4097">
      <w:pPr>
        <w:suppressAutoHyphens/>
        <w:jc w:val="center"/>
        <w:rPr>
          <w:b/>
          <w:sz w:val="32"/>
        </w:rPr>
      </w:pPr>
    </w:p>
    <w:p w14:paraId="7937A14B" w14:textId="77777777" w:rsidR="004C09F6" w:rsidRDefault="00EC4097" w:rsidP="00EC4097">
      <w:pPr>
        <w:suppressAutoHyphens/>
        <w:jc w:val="center"/>
        <w:rPr>
          <w:b/>
        </w:rPr>
      </w:pPr>
      <w:r w:rsidRPr="008A49BE">
        <w:rPr>
          <w:b/>
        </w:rPr>
        <w:t xml:space="preserve">PROJET </w:t>
      </w:r>
      <w:r w:rsidR="00A959AF">
        <w:rPr>
          <w:b/>
        </w:rPr>
        <w:t xml:space="preserve">REGIONAL </w:t>
      </w:r>
      <w:r w:rsidRPr="008A49BE">
        <w:rPr>
          <w:b/>
        </w:rPr>
        <w:t>D’A</w:t>
      </w:r>
      <w:r w:rsidR="002A3136">
        <w:rPr>
          <w:b/>
        </w:rPr>
        <w:t xml:space="preserve">PPUI AU </w:t>
      </w:r>
      <w:r w:rsidR="00A959AF">
        <w:rPr>
          <w:b/>
        </w:rPr>
        <w:t>PASTORALISME AU SAHEL</w:t>
      </w:r>
      <w:r w:rsidR="005A6FDD">
        <w:rPr>
          <w:b/>
        </w:rPr>
        <w:t xml:space="preserve"> AU MALI</w:t>
      </w:r>
      <w:r w:rsidR="002A3136">
        <w:rPr>
          <w:b/>
        </w:rPr>
        <w:t xml:space="preserve"> </w:t>
      </w:r>
      <w:r w:rsidR="00A959AF">
        <w:rPr>
          <w:b/>
        </w:rPr>
        <w:t xml:space="preserve">PHASE </w:t>
      </w:r>
      <w:r w:rsidR="004C09F6">
        <w:rPr>
          <w:b/>
        </w:rPr>
        <w:t>II</w:t>
      </w:r>
      <w:r w:rsidR="008447B6">
        <w:rPr>
          <w:b/>
        </w:rPr>
        <w:t xml:space="preserve"> </w:t>
      </w:r>
    </w:p>
    <w:p w14:paraId="3E8837BA" w14:textId="4F84D184" w:rsidR="00EC4097" w:rsidRPr="008A49BE" w:rsidRDefault="002A3136" w:rsidP="00EC4097">
      <w:pPr>
        <w:suppressAutoHyphens/>
        <w:jc w:val="center"/>
        <w:rPr>
          <w:b/>
        </w:rPr>
      </w:pPr>
      <w:r>
        <w:rPr>
          <w:b/>
        </w:rPr>
        <w:t>(P</w:t>
      </w:r>
      <w:r w:rsidR="00A959AF">
        <w:rPr>
          <w:b/>
        </w:rPr>
        <w:t xml:space="preserve">RAPS </w:t>
      </w:r>
      <w:r w:rsidR="004C09F6">
        <w:rPr>
          <w:b/>
        </w:rPr>
        <w:t>2</w:t>
      </w:r>
      <w:r>
        <w:rPr>
          <w:b/>
        </w:rPr>
        <w:t>-M</w:t>
      </w:r>
      <w:r w:rsidR="00F67AF5">
        <w:rPr>
          <w:b/>
        </w:rPr>
        <w:t>L</w:t>
      </w:r>
      <w:r>
        <w:rPr>
          <w:b/>
        </w:rPr>
        <w:t>)</w:t>
      </w:r>
    </w:p>
    <w:p w14:paraId="3E8837BB" w14:textId="77777777" w:rsidR="006D39E8" w:rsidRPr="008A49BE" w:rsidRDefault="006D39E8" w:rsidP="003A7703">
      <w:pPr>
        <w:suppressAutoHyphens/>
        <w:rPr>
          <w:b/>
        </w:rPr>
      </w:pPr>
    </w:p>
    <w:p w14:paraId="2780F5A5" w14:textId="790C9C63" w:rsidR="00C9772A" w:rsidRPr="00C9772A" w:rsidRDefault="00A8735C" w:rsidP="00DF77C4">
      <w:pPr>
        <w:pStyle w:val="Default"/>
        <w:jc w:val="center"/>
        <w:rPr>
          <w:rFonts w:ascii="Times New Roman" w:hAnsi="Times New Roman"/>
          <w:b/>
        </w:rPr>
      </w:pPr>
      <w:bookmarkStart w:id="0" w:name="_Hlk143083417"/>
      <w:r w:rsidRPr="00A8735C">
        <w:rPr>
          <w:rFonts w:ascii="Times New Roman" w:hAnsi="Times New Roman" w:cs="Times New Roman"/>
          <w:b/>
          <w:bCs/>
          <w:color w:val="auto"/>
        </w:rPr>
        <w:t xml:space="preserve">RECRUTEMENT D'UN </w:t>
      </w:r>
      <w:r w:rsidR="00DF77C4">
        <w:rPr>
          <w:rFonts w:ascii="Times New Roman" w:hAnsi="Times New Roman" w:cs="Times New Roman"/>
          <w:b/>
          <w:bCs/>
          <w:color w:val="auto"/>
        </w:rPr>
        <w:t>CONSULTANT</w:t>
      </w:r>
      <w:r w:rsidRPr="00A8735C">
        <w:rPr>
          <w:rFonts w:ascii="Times New Roman" w:hAnsi="Times New Roman" w:cs="Times New Roman"/>
          <w:b/>
          <w:bCs/>
          <w:color w:val="auto"/>
        </w:rPr>
        <w:t xml:space="preserve"> POUR LA REALISATION DES ETUDES TECHNIQUES </w:t>
      </w:r>
      <w:bookmarkEnd w:id="0"/>
      <w:r w:rsidR="00DF77C4">
        <w:rPr>
          <w:rFonts w:ascii="Times New Roman" w:hAnsi="Times New Roman" w:cs="Times New Roman"/>
          <w:b/>
          <w:bCs/>
          <w:color w:val="auto"/>
        </w:rPr>
        <w:t xml:space="preserve">DES </w:t>
      </w:r>
      <w:r w:rsidR="00DF77C4" w:rsidRPr="00DF77C4">
        <w:rPr>
          <w:rFonts w:ascii="Times New Roman" w:eastAsia="Batang" w:hAnsi="Times New Roman" w:cs="Times New Roman"/>
          <w:b/>
          <w:bCs/>
        </w:rPr>
        <w:t>TRAVAUX D’AMENAGEMENT DE QUATRE (04) PERIMETRES PASTORAUX Y COMPRIS LES ETUDES GEOPHYSIQUES D’IMPLANTATION DE QUATRE (04) FORAGES ET DU CONTROLE ET SURVEILLANCE DE L’ENSEMBLE DES TRAVAUX D’AMENAGEMENT ET D’HYDRAULIQUE</w:t>
      </w:r>
    </w:p>
    <w:p w14:paraId="5F7FC1EB" w14:textId="77777777" w:rsidR="00A959AF" w:rsidRPr="00A959AF" w:rsidRDefault="00A959AF" w:rsidP="00A959AF">
      <w:pPr>
        <w:pStyle w:val="Corpsdetexte"/>
        <w:rPr>
          <w:rFonts w:ascii="Times New Roman" w:hAnsi="Times New Roman"/>
          <w:b/>
        </w:rPr>
      </w:pPr>
      <w:r w:rsidRPr="00A959AF">
        <w:rPr>
          <w:rFonts w:ascii="Times New Roman" w:hAnsi="Times New Roman"/>
          <w:b/>
        </w:rPr>
        <w:t>Don N°</w:t>
      </w:r>
      <w:r w:rsidRPr="00A959AF">
        <w:rPr>
          <w:rFonts w:ascii="Times New Roman" w:hAnsi="Times New Roman"/>
          <w:b/>
          <w:color w:val="000000"/>
        </w:rPr>
        <w:t xml:space="preserve"> D799-</w:t>
      </w:r>
      <w:r w:rsidRPr="00A959AF">
        <w:rPr>
          <w:rFonts w:ascii="Times New Roman" w:hAnsi="Times New Roman"/>
          <w:b/>
        </w:rPr>
        <w:t>ML</w:t>
      </w:r>
    </w:p>
    <w:p w14:paraId="15533ACC" w14:textId="433F3029" w:rsidR="00A959AF" w:rsidRPr="00A959AF" w:rsidRDefault="00A959AF" w:rsidP="00A959AF">
      <w:pPr>
        <w:pStyle w:val="Corpsdetexte"/>
        <w:rPr>
          <w:rFonts w:ascii="Times New Roman" w:hAnsi="Times New Roman"/>
          <w:b/>
        </w:rPr>
      </w:pPr>
      <w:r w:rsidRPr="00A959AF">
        <w:rPr>
          <w:rFonts w:ascii="Times New Roman" w:hAnsi="Times New Roman"/>
          <w:b/>
        </w:rPr>
        <w:t>Credit N°</w:t>
      </w:r>
      <w:r w:rsidRPr="00A959AF">
        <w:rPr>
          <w:rFonts w:ascii="Times New Roman" w:hAnsi="Times New Roman"/>
          <w:b/>
          <w:color w:val="000000"/>
        </w:rPr>
        <w:t xml:space="preserve">6861-ML </w:t>
      </w:r>
      <w:r w:rsidRPr="00A959AF">
        <w:rPr>
          <w:rFonts w:ascii="Times New Roman" w:hAnsi="Times New Roman"/>
          <w:b/>
        </w:rPr>
        <w:t xml:space="preserve"> </w:t>
      </w:r>
    </w:p>
    <w:p w14:paraId="6D730015" w14:textId="77777777" w:rsidR="00977BD7" w:rsidRPr="00332B59" w:rsidRDefault="00977BD7" w:rsidP="00EC4097">
      <w:pPr>
        <w:suppressAutoHyphens/>
        <w:jc w:val="center"/>
        <w:rPr>
          <w:b/>
          <w:sz w:val="28"/>
          <w:szCs w:val="28"/>
          <w:lang w:val="en-US"/>
        </w:rPr>
      </w:pPr>
    </w:p>
    <w:p w14:paraId="3E8837BE" w14:textId="10158BE4" w:rsidR="0028291E" w:rsidRPr="00F71FB7" w:rsidRDefault="00A12488" w:rsidP="00977BD7">
      <w:pPr>
        <w:suppressAutoHyphens/>
        <w:rPr>
          <w:b/>
        </w:rPr>
      </w:pPr>
      <w:r w:rsidRPr="00A12488">
        <w:rPr>
          <w:b/>
        </w:rPr>
        <w:t>N</w:t>
      </w:r>
      <w:r>
        <w:rPr>
          <w:b/>
        </w:rPr>
        <w:t xml:space="preserve">° </w:t>
      </w:r>
      <w:r w:rsidRPr="00A12488">
        <w:rPr>
          <w:b/>
          <w:sz w:val="22"/>
        </w:rPr>
        <w:t>de</w:t>
      </w:r>
      <w:r w:rsidRPr="00F71FB7">
        <w:rPr>
          <w:b/>
        </w:rPr>
        <w:t xml:space="preserve"> </w:t>
      </w:r>
      <w:r w:rsidR="0028291E" w:rsidRPr="00F71FB7">
        <w:rPr>
          <w:b/>
        </w:rPr>
        <w:t>Référence dans le plan de passation de marché</w:t>
      </w:r>
      <w:r w:rsidR="00413ED1">
        <w:rPr>
          <w:b/>
        </w:rPr>
        <w:t>s</w:t>
      </w:r>
      <w:r w:rsidR="0028291E" w:rsidRPr="00F71FB7">
        <w:rPr>
          <w:b/>
        </w:rPr>
        <w:t xml:space="preserve"> : </w:t>
      </w:r>
      <w:r w:rsidR="00DF77C4" w:rsidRPr="00DF77C4">
        <w:rPr>
          <w:b/>
          <w:bCs/>
        </w:rPr>
        <w:t>ML-PRAPS-ML-395810-CS-CQS</w:t>
      </w:r>
    </w:p>
    <w:p w14:paraId="3E8837BF" w14:textId="77777777" w:rsidR="00CF1A8A" w:rsidRPr="00697D03" w:rsidRDefault="00CF1A8A" w:rsidP="00CF1A8A">
      <w:pPr>
        <w:rPr>
          <w:b/>
          <w:bCs/>
          <w:sz w:val="22"/>
          <w:szCs w:val="22"/>
        </w:rPr>
      </w:pPr>
    </w:p>
    <w:p w14:paraId="3E8837C0" w14:textId="0FAA1844" w:rsidR="00C6482E" w:rsidRPr="00CB60F4" w:rsidRDefault="0028291E" w:rsidP="00697D03">
      <w:pPr>
        <w:pStyle w:val="Default"/>
        <w:rPr>
          <w:rFonts w:ascii="Times New Roman" w:hAnsi="Times New Roman" w:cs="Times New Roman"/>
        </w:rPr>
      </w:pPr>
      <w:r w:rsidRPr="00697D03">
        <w:rPr>
          <w:rFonts w:ascii="Times New Roman" w:hAnsi="Times New Roman" w:cs="Times New Roman"/>
        </w:rPr>
        <w:t>1</w:t>
      </w:r>
      <w:r w:rsidR="008A49BE" w:rsidRPr="00697D03">
        <w:rPr>
          <w:rFonts w:ascii="Times New Roman" w:hAnsi="Times New Roman" w:cs="Times New Roman"/>
        </w:rPr>
        <w:t>.</w:t>
      </w:r>
      <w:r w:rsidR="008A49BE" w:rsidRPr="00697D03">
        <w:rPr>
          <w:rFonts w:ascii="Times New Roman" w:hAnsi="Times New Roman" w:cs="Times New Roman"/>
        </w:rPr>
        <w:tab/>
      </w:r>
      <w:r w:rsidR="00C6482E" w:rsidRPr="00697D03">
        <w:rPr>
          <w:rFonts w:ascii="Times New Roman" w:hAnsi="Times New Roman" w:cs="Times New Roman"/>
        </w:rPr>
        <w:t xml:space="preserve">Le Gouvernement de la République du Mali a </w:t>
      </w:r>
      <w:r w:rsidR="007211CE" w:rsidRPr="00697D03">
        <w:rPr>
          <w:rFonts w:ascii="Times New Roman" w:hAnsi="Times New Roman" w:cs="Times New Roman"/>
        </w:rPr>
        <w:t>reçu</w:t>
      </w:r>
      <w:r w:rsidR="00C6482E" w:rsidRPr="00697D03">
        <w:rPr>
          <w:rFonts w:ascii="Times New Roman" w:hAnsi="Times New Roman" w:cs="Times New Roman"/>
        </w:rPr>
        <w:t xml:space="preserve"> un </w:t>
      </w:r>
      <w:r w:rsidR="007211CE" w:rsidRPr="00697D03">
        <w:rPr>
          <w:rFonts w:ascii="Times New Roman" w:hAnsi="Times New Roman" w:cs="Times New Roman"/>
        </w:rPr>
        <w:t>financement</w:t>
      </w:r>
      <w:r w:rsidR="00C6482E" w:rsidRPr="00697D03">
        <w:rPr>
          <w:rFonts w:ascii="Times New Roman" w:hAnsi="Times New Roman" w:cs="Times New Roman"/>
        </w:rPr>
        <w:t xml:space="preserve"> de l’Association Internationale de Développement (IDA)</w:t>
      </w:r>
      <w:r w:rsidR="007211CE" w:rsidRPr="00697D03">
        <w:rPr>
          <w:rFonts w:ascii="Times New Roman" w:hAnsi="Times New Roman" w:cs="Times New Roman"/>
          <w:i/>
        </w:rPr>
        <w:t xml:space="preserve">, </w:t>
      </w:r>
      <w:r w:rsidR="007211CE" w:rsidRPr="00697D03">
        <w:rPr>
          <w:rFonts w:ascii="Times New Roman" w:hAnsi="Times New Roman" w:cs="Times New Roman"/>
        </w:rPr>
        <w:t>et a l’intention d’utiliser une partie du montant de</w:t>
      </w:r>
      <w:r w:rsidR="00C6482E" w:rsidRPr="00697D03">
        <w:rPr>
          <w:rFonts w:ascii="Times New Roman" w:hAnsi="Times New Roman" w:cs="Times New Roman"/>
        </w:rPr>
        <w:t xml:space="preserve"> ce</w:t>
      </w:r>
      <w:r w:rsidR="00CC0250" w:rsidRPr="00697D03">
        <w:rPr>
          <w:rFonts w:ascii="Times New Roman" w:hAnsi="Times New Roman" w:cs="Times New Roman"/>
        </w:rPr>
        <w:t>s</w:t>
      </w:r>
      <w:r w:rsidR="00C6482E" w:rsidRPr="00697D03">
        <w:rPr>
          <w:rFonts w:ascii="Times New Roman" w:hAnsi="Times New Roman" w:cs="Times New Roman"/>
        </w:rPr>
        <w:t xml:space="preserve"> crédit</w:t>
      </w:r>
      <w:r w:rsidR="00CC0250" w:rsidRPr="00697D03">
        <w:rPr>
          <w:rFonts w:ascii="Times New Roman" w:hAnsi="Times New Roman" w:cs="Times New Roman"/>
        </w:rPr>
        <w:t xml:space="preserve"> et don</w:t>
      </w:r>
      <w:r w:rsidR="00C6482E" w:rsidRPr="00697D03">
        <w:rPr>
          <w:rFonts w:ascii="Times New Roman" w:hAnsi="Times New Roman" w:cs="Times New Roman"/>
        </w:rPr>
        <w:t xml:space="preserve"> pour effectuer les paiements au titre du </w:t>
      </w:r>
      <w:r w:rsidR="00697D03" w:rsidRPr="00697D03">
        <w:rPr>
          <w:rFonts w:ascii="Times New Roman" w:hAnsi="Times New Roman" w:cs="Times New Roman"/>
          <w:b/>
          <w:bCs/>
          <w:color w:val="auto"/>
        </w:rPr>
        <w:t xml:space="preserve">Recrutement d'un </w:t>
      </w:r>
      <w:r w:rsidR="00CB60F4">
        <w:rPr>
          <w:rFonts w:ascii="Times New Roman" w:hAnsi="Times New Roman" w:cs="Times New Roman"/>
          <w:b/>
          <w:bCs/>
          <w:color w:val="auto"/>
        </w:rPr>
        <w:t>Consultant</w:t>
      </w:r>
      <w:r w:rsidR="00697D03" w:rsidRPr="00697D03">
        <w:rPr>
          <w:rFonts w:ascii="Times New Roman" w:hAnsi="Times New Roman" w:cs="Times New Roman"/>
          <w:b/>
          <w:bCs/>
          <w:color w:val="auto"/>
        </w:rPr>
        <w:t xml:space="preserve"> pour la réalisation des études techniques </w:t>
      </w:r>
      <w:r w:rsidR="00CB60F4">
        <w:rPr>
          <w:rFonts w:ascii="Times New Roman" w:hAnsi="Times New Roman" w:cs="Times New Roman"/>
          <w:b/>
          <w:bCs/>
          <w:color w:val="auto"/>
        </w:rPr>
        <w:t>des T</w:t>
      </w:r>
      <w:r w:rsidR="00CB60F4" w:rsidRPr="00CB60F4">
        <w:rPr>
          <w:rFonts w:ascii="Times New Roman" w:eastAsia="Batang" w:hAnsi="Times New Roman" w:cs="Times New Roman"/>
          <w:b/>
          <w:bCs/>
        </w:rPr>
        <w:t>ravaux d’aménagement de quatre (04) périmètres pastoraux y compris les études géophysiques d’implantation de quatre (04) forages et du contrôle et surveillance de l’ensemble des travaux d’aménagement et d’hydraulique</w:t>
      </w:r>
      <w:r w:rsidR="003A7703" w:rsidRPr="00CB60F4">
        <w:rPr>
          <w:rFonts w:ascii="Times New Roman" w:hAnsi="Times New Roman" w:cs="Times New Roman"/>
          <w:b/>
        </w:rPr>
        <w:t>.</w:t>
      </w:r>
    </w:p>
    <w:p w14:paraId="3E8837C1" w14:textId="7674DBF7" w:rsidR="00D16B6D" w:rsidRDefault="00D16B6D" w:rsidP="00846E99">
      <w:pPr>
        <w:ind w:right="22"/>
        <w:jc w:val="both"/>
      </w:pPr>
    </w:p>
    <w:p w14:paraId="08DA89F3" w14:textId="77777777" w:rsidR="006F6B45" w:rsidRDefault="00405EE1" w:rsidP="006F6B45">
      <w:pPr>
        <w:ind w:left="-142"/>
        <w:jc w:val="both"/>
        <w:rPr>
          <w:color w:val="000000" w:themeColor="text1"/>
        </w:rPr>
      </w:pPr>
      <w:r>
        <w:t>2</w:t>
      </w:r>
      <w:r w:rsidRPr="00603BF4">
        <w:t xml:space="preserve">. </w:t>
      </w:r>
      <w:r w:rsidR="007122B4">
        <w:t xml:space="preserve">   </w:t>
      </w:r>
      <w:r w:rsidR="006F6B45" w:rsidRPr="00D046B2">
        <w:rPr>
          <w:color w:val="000000" w:themeColor="text1"/>
        </w:rPr>
        <w:t xml:space="preserve">D’une durée de 6 ans (2022-2027), le PRAPS-2 s’inscrit dans la dynamique positive initiée par le PRAPS-1 tout en renforçant les acquis de la première phase. Le budget global est d’environ 60 MUSD. </w:t>
      </w:r>
    </w:p>
    <w:p w14:paraId="42EADB0A" w14:textId="77777777" w:rsidR="006F6B45" w:rsidRDefault="006F6B45" w:rsidP="006F6B45">
      <w:pPr>
        <w:ind w:left="-142"/>
        <w:jc w:val="both"/>
        <w:rPr>
          <w:color w:val="000000" w:themeColor="text1"/>
        </w:rPr>
      </w:pPr>
    </w:p>
    <w:p w14:paraId="46E1DC19" w14:textId="762DBA5A" w:rsidR="006F6B45" w:rsidRDefault="006F6B45" w:rsidP="006F6B45">
      <w:pPr>
        <w:ind w:left="-142"/>
        <w:jc w:val="both"/>
        <w:rPr>
          <w:color w:val="000000" w:themeColor="text1"/>
        </w:rPr>
      </w:pPr>
      <w:r w:rsidRPr="002B3595">
        <w:rPr>
          <w:color w:val="000000" w:themeColor="text1"/>
        </w:rPr>
        <w:t>Contrairement au PRAPS I qui a intervenu dans les 10 régions et prioritairement dans les cercles transfrontaliers des pays du PRAPS et des zones de grande</w:t>
      </w:r>
      <w:r w:rsidR="007A230B">
        <w:rPr>
          <w:color w:val="000000" w:themeColor="text1"/>
        </w:rPr>
        <w:t>s</w:t>
      </w:r>
      <w:r w:rsidRPr="002B3595">
        <w:rPr>
          <w:color w:val="000000" w:themeColor="text1"/>
        </w:rPr>
        <w:t xml:space="preserve"> concentration</w:t>
      </w:r>
      <w:r w:rsidR="007A230B">
        <w:rPr>
          <w:color w:val="000000" w:themeColor="text1"/>
        </w:rPr>
        <w:t>s</w:t>
      </w:r>
      <w:r w:rsidRPr="002B3595">
        <w:rPr>
          <w:color w:val="000000" w:themeColor="text1"/>
        </w:rPr>
        <w:t xml:space="preserve"> des animaux, le PRAPS II a choisi </w:t>
      </w:r>
      <w:r>
        <w:rPr>
          <w:color w:val="000000" w:themeColor="text1"/>
        </w:rPr>
        <w:t>d’intervenir au niveau des</w:t>
      </w:r>
      <w:r w:rsidRPr="002B3595">
        <w:rPr>
          <w:color w:val="000000" w:themeColor="text1"/>
        </w:rPr>
        <w:t xml:space="preserve"> axes prioritaires de transhumances et ou de commercialisation </w:t>
      </w:r>
      <w:r>
        <w:rPr>
          <w:color w:val="000000" w:themeColor="text1"/>
        </w:rPr>
        <w:t xml:space="preserve">identifiés lors de l’étude sur la cartographie des corridors de commercialisation et de transhumance, </w:t>
      </w:r>
      <w:r w:rsidRPr="002B3595">
        <w:rPr>
          <w:color w:val="000000" w:themeColor="text1"/>
        </w:rPr>
        <w:t xml:space="preserve">dans un souci de concentration des investissements dans la complémentarité et la synergie avec les interventions du Gouvernement et des financements apportés par d’autres projets. </w:t>
      </w:r>
    </w:p>
    <w:p w14:paraId="61C594F4" w14:textId="77777777" w:rsidR="006F6B45" w:rsidRDefault="006F6B45" w:rsidP="006F6B45">
      <w:pPr>
        <w:ind w:left="-142"/>
        <w:jc w:val="both"/>
        <w:rPr>
          <w:color w:val="000000" w:themeColor="text1"/>
        </w:rPr>
      </w:pPr>
    </w:p>
    <w:p w14:paraId="73F047BA" w14:textId="77777777" w:rsidR="006F6B45" w:rsidRDefault="006F6B45" w:rsidP="006F6B45">
      <w:pPr>
        <w:ind w:left="-142"/>
        <w:jc w:val="both"/>
        <w:rPr>
          <w:color w:val="000000" w:themeColor="text1"/>
        </w:rPr>
      </w:pPr>
      <w:r w:rsidRPr="002B3595">
        <w:rPr>
          <w:color w:val="000000" w:themeColor="text1"/>
        </w:rPr>
        <w:t>Le projet prendra une dimension nationale pour certaines activités notamment celles liées à la santé animale, à la commercialisation du bétail, à la gestion des ressources</w:t>
      </w:r>
      <w:r>
        <w:rPr>
          <w:color w:val="000000" w:themeColor="text1"/>
        </w:rPr>
        <w:t xml:space="preserve"> naturelles</w:t>
      </w:r>
      <w:r w:rsidRPr="002B3595">
        <w:rPr>
          <w:color w:val="000000" w:themeColor="text1"/>
        </w:rPr>
        <w:t>, des crises pastorales, et la prévention des conflits pour l’utilisation des ressources</w:t>
      </w:r>
      <w:r>
        <w:rPr>
          <w:color w:val="000000" w:themeColor="text1"/>
        </w:rPr>
        <w:t xml:space="preserve"> naturelles</w:t>
      </w:r>
      <w:r w:rsidRPr="002B3595">
        <w:rPr>
          <w:color w:val="000000" w:themeColor="text1"/>
        </w:rPr>
        <w:t>. La zone des "trois frontières" (Mali, Niger, Burkina Faso) sera favorisée pour toutes les interventions du projet permettant de consolid</w:t>
      </w:r>
      <w:r>
        <w:rPr>
          <w:color w:val="000000" w:themeColor="text1"/>
        </w:rPr>
        <w:t>er</w:t>
      </w:r>
      <w:r w:rsidRPr="002B3595">
        <w:rPr>
          <w:color w:val="000000" w:themeColor="text1"/>
        </w:rPr>
        <w:t xml:space="preserve"> la paix, la cohésion sociale et de créer des ressources pour les populations notamment les femmes et les jeunes.  </w:t>
      </w:r>
    </w:p>
    <w:p w14:paraId="63FCAAC5" w14:textId="77777777" w:rsidR="006F6B45" w:rsidRPr="00D046B2" w:rsidRDefault="006F6B45" w:rsidP="006F6B45">
      <w:pPr>
        <w:ind w:left="-142"/>
        <w:jc w:val="both"/>
        <w:rPr>
          <w:color w:val="000000" w:themeColor="text1"/>
        </w:rPr>
      </w:pPr>
    </w:p>
    <w:p w14:paraId="6F303FAD" w14:textId="4D6A0C1A" w:rsidR="006F6B45" w:rsidRDefault="006F6B45" w:rsidP="006F6B45">
      <w:pPr>
        <w:ind w:left="-142"/>
        <w:jc w:val="both"/>
        <w:rPr>
          <w:color w:val="000000" w:themeColor="text1"/>
        </w:rPr>
      </w:pPr>
      <w:r w:rsidRPr="00D046B2">
        <w:rPr>
          <w:color w:val="000000" w:themeColor="text1"/>
        </w:rPr>
        <w:t xml:space="preserve">L'objectif général de développement du projet (PDO) </w:t>
      </w:r>
      <w:r>
        <w:rPr>
          <w:color w:val="000000" w:themeColor="text1"/>
        </w:rPr>
        <w:t xml:space="preserve">du PRAPS II </w:t>
      </w:r>
      <w:r w:rsidRPr="00D046B2">
        <w:rPr>
          <w:color w:val="000000" w:themeColor="text1"/>
        </w:rPr>
        <w:t>est « </w:t>
      </w:r>
      <w:r w:rsidRPr="00D046B2">
        <w:rPr>
          <w:b/>
          <w:i/>
          <w:color w:val="000000" w:themeColor="text1"/>
        </w:rPr>
        <w:t xml:space="preserve">d'améliorer la résilience des pasteurs et des agropasteurs dans certaines zones </w:t>
      </w:r>
      <w:r w:rsidR="00786B93" w:rsidRPr="00332B59">
        <w:rPr>
          <w:b/>
          <w:i/>
          <w:color w:val="000000" w:themeColor="text1"/>
        </w:rPr>
        <w:t>ciblées</w:t>
      </w:r>
      <w:r w:rsidR="00786B93" w:rsidRPr="00D046B2">
        <w:rPr>
          <w:b/>
          <w:i/>
          <w:color w:val="000000" w:themeColor="text1"/>
        </w:rPr>
        <w:t xml:space="preserve"> </w:t>
      </w:r>
      <w:r w:rsidRPr="00D046B2">
        <w:rPr>
          <w:b/>
          <w:i/>
          <w:color w:val="000000" w:themeColor="text1"/>
        </w:rPr>
        <w:t xml:space="preserve">de la région du </w:t>
      </w:r>
      <w:r>
        <w:rPr>
          <w:b/>
          <w:i/>
          <w:color w:val="000000" w:themeColor="text1"/>
        </w:rPr>
        <w:t>S</w:t>
      </w:r>
      <w:r w:rsidRPr="00D046B2">
        <w:rPr>
          <w:b/>
          <w:i/>
          <w:color w:val="000000" w:themeColor="text1"/>
        </w:rPr>
        <w:t>ahel</w:t>
      </w:r>
      <w:r w:rsidRPr="00D046B2">
        <w:rPr>
          <w:color w:val="000000" w:themeColor="text1"/>
        </w:rPr>
        <w:t xml:space="preserve"> ».  </w:t>
      </w:r>
    </w:p>
    <w:p w14:paraId="2907B035" w14:textId="77777777" w:rsidR="006F6B45" w:rsidRDefault="006F6B45" w:rsidP="006F6B45">
      <w:pPr>
        <w:ind w:left="-142"/>
        <w:jc w:val="both"/>
        <w:rPr>
          <w:color w:val="000000" w:themeColor="text1"/>
        </w:rPr>
      </w:pPr>
    </w:p>
    <w:p w14:paraId="26FFAB82" w14:textId="77777777" w:rsidR="006F6B45" w:rsidRPr="00D046B2" w:rsidRDefault="006F6B45" w:rsidP="006F6B45">
      <w:pPr>
        <w:ind w:left="-142"/>
        <w:jc w:val="both"/>
        <w:rPr>
          <w:color w:val="000000" w:themeColor="text1"/>
        </w:rPr>
      </w:pPr>
      <w:r w:rsidRPr="00D046B2">
        <w:rPr>
          <w:color w:val="000000" w:themeColor="text1"/>
        </w:rPr>
        <w:t>Le Projet s'articule autour de cinq composantes et sous-composantes suivantes :</w:t>
      </w:r>
    </w:p>
    <w:p w14:paraId="3963744B" w14:textId="77777777" w:rsidR="006F6B45" w:rsidRDefault="006F6B45" w:rsidP="006F6B45">
      <w:pPr>
        <w:ind w:left="-142"/>
        <w:jc w:val="both"/>
        <w:rPr>
          <w:b/>
          <w:bCs/>
          <w:color w:val="000000" w:themeColor="text1"/>
        </w:rPr>
      </w:pPr>
    </w:p>
    <w:p w14:paraId="205FCD3C" w14:textId="77777777" w:rsidR="00786B93" w:rsidRPr="006D1362" w:rsidRDefault="00786B93" w:rsidP="00786B93">
      <w:pPr>
        <w:jc w:val="both"/>
      </w:pPr>
      <w:r w:rsidRPr="006D1362">
        <w:rPr>
          <w:b/>
          <w:bCs/>
        </w:rPr>
        <w:t xml:space="preserve">Composante 1 : amélioration de la santé animale et contrôle des médicaments vétérinaires. </w:t>
      </w:r>
      <w:r w:rsidRPr="006D1362">
        <w:t xml:space="preserve">Elle sera mise en œuvre à travers les trois sous-composantes suivantes : (i) Renforcement des capacités des services vétérinaires </w:t>
      </w:r>
      <w:r>
        <w:t xml:space="preserve">nationaux </w:t>
      </w:r>
      <w:r w:rsidRPr="006D1362">
        <w:t xml:space="preserve">; (ii) Appui à la surveillance et au contrôle harmonisé des maladies </w:t>
      </w:r>
      <w:r w:rsidRPr="001B618A">
        <w:t xml:space="preserve">animales contagieuses </w:t>
      </w:r>
      <w:r w:rsidRPr="006D1362">
        <w:t>prioritaires ; et (iii) Appui au contrôle des médicaments vétérinaires</w:t>
      </w:r>
      <w:r w:rsidRPr="006D1362" w:rsidDel="00F41C31">
        <w:rPr>
          <w:b/>
        </w:rPr>
        <w:t xml:space="preserve"> </w:t>
      </w:r>
    </w:p>
    <w:p w14:paraId="165129D3" w14:textId="77777777" w:rsidR="00786B93" w:rsidRPr="006D1362" w:rsidRDefault="00786B93" w:rsidP="00786B93">
      <w:pPr>
        <w:jc w:val="both"/>
      </w:pPr>
      <w:r w:rsidRPr="006D1362">
        <w:rPr>
          <w:b/>
        </w:rPr>
        <w:lastRenderedPageBreak/>
        <w:t xml:space="preserve">Composante 2 : gestion durable des paysages et </w:t>
      </w:r>
      <w:r>
        <w:rPr>
          <w:b/>
        </w:rPr>
        <w:t xml:space="preserve">amélioration de la </w:t>
      </w:r>
      <w:r w:rsidRPr="006D1362">
        <w:rPr>
          <w:b/>
        </w:rPr>
        <w:t>gouvernance.</w:t>
      </w:r>
      <w:r w:rsidRPr="006D1362" w:rsidDel="00F41C31">
        <w:rPr>
          <w:b/>
        </w:rPr>
        <w:t xml:space="preserve"> </w:t>
      </w:r>
      <w:r w:rsidRPr="006D1362">
        <w:t xml:space="preserve">Elle s’articule autour des trois sous-composantes suivantes : (i) Sécurisation de l’accès aux ressources naturelles et gestion durable des paysages ; (ii) Gestion durable des infrastructures d’accès à l’eau ; et (iii) Production </w:t>
      </w:r>
      <w:r>
        <w:t xml:space="preserve">de </w:t>
      </w:r>
      <w:r w:rsidRPr="006D1362">
        <w:t xml:space="preserve">fourrage </w:t>
      </w:r>
    </w:p>
    <w:p w14:paraId="42BE51E1" w14:textId="2688CC60" w:rsidR="00786B93" w:rsidRPr="006D1362" w:rsidRDefault="00786B93" w:rsidP="00786B93">
      <w:pPr>
        <w:jc w:val="both"/>
      </w:pPr>
      <w:r w:rsidRPr="006D1362">
        <w:rPr>
          <w:b/>
        </w:rPr>
        <w:t>Composante 3 : amélioration des chaînes de valeur du bétail</w:t>
      </w:r>
      <w:bookmarkStart w:id="1" w:name="_Toc422232228"/>
      <w:r>
        <w:rPr>
          <w:b/>
        </w:rPr>
        <w:t>.</w:t>
      </w:r>
      <w:r w:rsidRPr="006D1362">
        <w:t xml:space="preserve"> </w:t>
      </w:r>
      <w:bookmarkEnd w:id="1"/>
      <w:r w:rsidRPr="006D1362">
        <w:t xml:space="preserve">Elle s’articule autour des trois sous-composantes suivantes : (i) </w:t>
      </w:r>
      <w:r w:rsidRPr="001B618A">
        <w:t xml:space="preserve">Développement d'une </w:t>
      </w:r>
      <w:r w:rsidRPr="006D1362">
        <w:t xml:space="preserve">infrastructure </w:t>
      </w:r>
      <w:r>
        <w:t>de march</w:t>
      </w:r>
      <w:r w:rsidRPr="006D1362">
        <w:t>é</w:t>
      </w:r>
      <w:r>
        <w:t xml:space="preserve"> </w:t>
      </w:r>
      <w:r w:rsidRPr="006D1362">
        <w:t>stratégique pour le commerce régional ; (ii) Renforcement des capacités des organisations</w:t>
      </w:r>
      <w:r w:rsidRPr="001B618A">
        <w:t xml:space="preserve"> nationales et régionales de producteurs pastoraux</w:t>
      </w:r>
      <w:r w:rsidRPr="006D1362">
        <w:t xml:space="preserve"> ; et (iii) </w:t>
      </w:r>
      <w:r w:rsidRPr="001B618A">
        <w:t>Développement de la chaîne de valeur et financement de sous-projets</w:t>
      </w:r>
      <w:r w:rsidRPr="006D1362">
        <w:t>.</w:t>
      </w:r>
    </w:p>
    <w:p w14:paraId="1A57F07E" w14:textId="77777777" w:rsidR="00786B93" w:rsidRPr="006D1362" w:rsidRDefault="00786B93" w:rsidP="00786B93">
      <w:r w:rsidRPr="006D1362">
        <w:rPr>
          <w:b/>
        </w:rPr>
        <w:t>Composante 4 : amélioration de l'inclusion sociale et économique</w:t>
      </w:r>
      <w:r>
        <w:rPr>
          <w:b/>
        </w:rPr>
        <w:t>,</w:t>
      </w:r>
      <w:r w:rsidRPr="006D1362">
        <w:rPr>
          <w:b/>
        </w:rPr>
        <w:t xml:space="preserve"> femmes et jeunes</w:t>
      </w:r>
      <w:r w:rsidRPr="006D1362" w:rsidDel="00476111">
        <w:rPr>
          <w:b/>
        </w:rPr>
        <w:t xml:space="preserve"> </w:t>
      </w:r>
      <w:r w:rsidRPr="006D1362">
        <w:t xml:space="preserve">avec comme sous composantes : (i) Accès à la formation professionnelle et technique, (ii) </w:t>
      </w:r>
      <w:bookmarkStart w:id="2" w:name="_Toc410417058"/>
      <w:bookmarkStart w:id="3" w:name="_Toc411781561"/>
      <w:r w:rsidRPr="006D1362">
        <w:t>Amélior</w:t>
      </w:r>
      <w:r>
        <w:t xml:space="preserve">ation de </w:t>
      </w:r>
      <w:r w:rsidRPr="006D1362">
        <w:t>l’accès au</w:t>
      </w:r>
      <w:r>
        <w:t>x</w:t>
      </w:r>
      <w:r w:rsidRPr="006D1362">
        <w:t xml:space="preserve"> registre</w:t>
      </w:r>
      <w:r>
        <w:t>s</w:t>
      </w:r>
      <w:r w:rsidRPr="006D1362">
        <w:t xml:space="preserve"> socia</w:t>
      </w:r>
      <w:r>
        <w:t xml:space="preserve">ux </w:t>
      </w:r>
      <w:r w:rsidRPr="006D1362">
        <w:t xml:space="preserve">et d’état civil, (iii) Activités génératrices de </w:t>
      </w:r>
      <w:bookmarkEnd w:id="2"/>
      <w:bookmarkEnd w:id="3"/>
      <w:r w:rsidRPr="006D1362">
        <w:t>revenus</w:t>
      </w:r>
      <w:r w:rsidRPr="006D1362" w:rsidDel="00E663E8">
        <w:t>.</w:t>
      </w:r>
    </w:p>
    <w:p w14:paraId="3AB1DDC0" w14:textId="77777777" w:rsidR="00786B93" w:rsidRDefault="00786B93" w:rsidP="00786B93">
      <w:r w:rsidRPr="006D1362">
        <w:rPr>
          <w:b/>
        </w:rPr>
        <w:t xml:space="preserve">Composante 5 : coordination du projet, renforcement institutionnel, prévention et réponse aux </w:t>
      </w:r>
      <w:r>
        <w:rPr>
          <w:b/>
        </w:rPr>
        <w:t>crises.</w:t>
      </w:r>
      <w:r w:rsidRPr="006D1362" w:rsidDel="005C68BD">
        <w:rPr>
          <w:b/>
        </w:rPr>
        <w:t xml:space="preserve"> </w:t>
      </w:r>
      <w:r w:rsidRPr="00FB4B8A">
        <w:rPr>
          <w:bCs/>
        </w:rPr>
        <w:t>S</w:t>
      </w:r>
      <w:r w:rsidRPr="006D1362">
        <w:t>es sous-composantes sont : (i) : Coordination du projet ; (ii) Renforcement institutionnel (ii) Intervention d'urgence.</w:t>
      </w:r>
    </w:p>
    <w:p w14:paraId="5FAC979D" w14:textId="77777777" w:rsidR="006A6AFD" w:rsidRDefault="006A6AFD" w:rsidP="006A6AFD">
      <w:pPr>
        <w:contextualSpacing/>
        <w:jc w:val="both"/>
      </w:pPr>
    </w:p>
    <w:p w14:paraId="2D878A39" w14:textId="4B4CE2FB" w:rsidR="006A6AFD" w:rsidRPr="006A6AFD" w:rsidRDefault="006A6AFD" w:rsidP="006A6AFD">
      <w:pPr>
        <w:contextualSpacing/>
        <w:jc w:val="both"/>
      </w:pPr>
      <w:r w:rsidRPr="006A6AFD">
        <w:t xml:space="preserve">Les sécheresses successives survenues au Mali, ont mis en évidence la fragilité des écosystèmes pastoraux et a conduit à initier des programmes et des stratégies bâtis sur la recherche de l’adéquation entre les effectifs du cheptel, les ressources hydrauliques et la charge des pâturages. Cette politique a contribué à l’amélioration significative de l’accès à des zones riches en pâturages et sans eau de surface permanente. (Politique Nationale de Développement de l’Elevage adoptée en Mai 2004 Vol 1). Le PRAPS s’inscrit dans ce cadre en matière d’aménagement des périmètres pastoraux. </w:t>
      </w:r>
    </w:p>
    <w:p w14:paraId="43CE7B75" w14:textId="77777777" w:rsidR="006A6AFD" w:rsidRPr="006A6AFD" w:rsidRDefault="006A6AFD" w:rsidP="006A6AFD">
      <w:pPr>
        <w:contextualSpacing/>
        <w:jc w:val="both"/>
      </w:pPr>
    </w:p>
    <w:p w14:paraId="63630DAB" w14:textId="77777777" w:rsidR="006A6AFD" w:rsidRPr="006A6AFD" w:rsidRDefault="006A6AFD" w:rsidP="006A6AFD">
      <w:pPr>
        <w:contextualSpacing/>
        <w:jc w:val="both"/>
      </w:pPr>
      <w:r w:rsidRPr="006A6AFD">
        <w:t>L’aménagement des espaces pastoraux est inscrit dans la Loi portant Charte Pastorale en République du Mali. Les choix des sites à aménager sont faits par concertations entre les Collectivités Territoriales, les OP et les Services Techniques.</w:t>
      </w:r>
    </w:p>
    <w:p w14:paraId="6A1054FA" w14:textId="77777777" w:rsidR="006A6AFD" w:rsidRPr="006A6AFD" w:rsidRDefault="006A6AFD" w:rsidP="006A6AFD">
      <w:pPr>
        <w:contextualSpacing/>
        <w:jc w:val="both"/>
      </w:pPr>
    </w:p>
    <w:p w14:paraId="0F98DE54" w14:textId="77777777" w:rsidR="006A6AFD" w:rsidRPr="006A6AFD" w:rsidRDefault="006A6AFD" w:rsidP="006A6AFD">
      <w:pPr>
        <w:contextualSpacing/>
        <w:jc w:val="both"/>
      </w:pPr>
      <w:r w:rsidRPr="006A6AFD">
        <w:t xml:space="preserve">Les périmètres pastoraux sont gérés par des OP sur délégation de la commune. Un cahier de charge est signé entre la commune et l’OP organe de gestion. Le cahier de charge prévoit des paiements de redevance par les exploitants. </w:t>
      </w:r>
    </w:p>
    <w:p w14:paraId="7695F861" w14:textId="77777777" w:rsidR="006A6AFD" w:rsidRPr="006A6AFD" w:rsidRDefault="006A6AFD" w:rsidP="006A6AFD">
      <w:pPr>
        <w:contextualSpacing/>
        <w:jc w:val="both"/>
      </w:pPr>
    </w:p>
    <w:p w14:paraId="7266A675" w14:textId="77777777" w:rsidR="006A6AFD" w:rsidRPr="006A6AFD" w:rsidRDefault="006A6AFD" w:rsidP="006A6AFD">
      <w:pPr>
        <w:contextualSpacing/>
        <w:jc w:val="both"/>
      </w:pPr>
      <w:r w:rsidRPr="006A6AFD">
        <w:t>L’UCP a commandité une étude pour la réalisation des travaux d'aménagement de huit (08) périmètres pastoraux. La validation des résultats des études a déclassé quatre (04) périmètres pour insuffisance de superficies. Les quatre (04) sites non retenus sont remplacés par de nouveaux sites dont Kayes (1 site) et Bougouni (3 sites) et les études sont programmées pour 2024. Le processus d’ingénierie sociale avec conclusion d’accords sociaux, ainsi que des études techniques seront réalisés sur ces nouveaux sites.</w:t>
      </w:r>
    </w:p>
    <w:p w14:paraId="670CD535" w14:textId="77777777" w:rsidR="006A6AFD" w:rsidRPr="006A6AFD" w:rsidRDefault="006A6AFD" w:rsidP="006A6AFD">
      <w:pPr>
        <w:contextualSpacing/>
        <w:jc w:val="both"/>
      </w:pPr>
    </w:p>
    <w:p w14:paraId="725C3216" w14:textId="39173B5B" w:rsidR="006A6AFD" w:rsidRPr="006A6AFD" w:rsidRDefault="006A6AFD" w:rsidP="006A6AFD">
      <w:pPr>
        <w:pStyle w:val="Puce1DDM"/>
        <w:spacing w:before="0"/>
        <w:rPr>
          <w:rFonts w:ascii="Times New Roman" w:eastAsia="Calibri" w:hAnsi="Times New Roman"/>
          <w:color w:val="000000"/>
          <w:sz w:val="24"/>
          <w:szCs w:val="24"/>
          <w:lang w:val="fr-FR" w:eastAsia="en-US"/>
        </w:rPr>
      </w:pPr>
      <w:r w:rsidRPr="006A6AFD">
        <w:rPr>
          <w:rFonts w:ascii="Times New Roman" w:eastAsia="Calibri" w:hAnsi="Times New Roman"/>
          <w:color w:val="000000"/>
          <w:sz w:val="24"/>
          <w:szCs w:val="24"/>
          <w:lang w:val="fr-FR" w:eastAsia="en-US"/>
        </w:rPr>
        <w:t>U</w:t>
      </w:r>
      <w:r w:rsidRPr="006A6AFD">
        <w:rPr>
          <w:rFonts w:ascii="Times New Roman" w:eastAsia="Calibri" w:hAnsi="Times New Roman"/>
          <w:color w:val="000000"/>
          <w:sz w:val="24"/>
          <w:szCs w:val="24"/>
          <w:lang w:val="fr-FR" w:eastAsia="en-US"/>
        </w:rPr>
        <w:t xml:space="preserve">n bureau d’études </w:t>
      </w:r>
      <w:r w:rsidRPr="006A6AFD">
        <w:rPr>
          <w:rFonts w:ascii="Times New Roman" w:eastAsia="Calibri" w:hAnsi="Times New Roman"/>
          <w:color w:val="000000"/>
          <w:sz w:val="24"/>
          <w:szCs w:val="24"/>
          <w:lang w:val="fr-FR" w:eastAsia="en-US"/>
        </w:rPr>
        <w:t xml:space="preserve">sera recruté </w:t>
      </w:r>
      <w:r w:rsidRPr="006A6AFD">
        <w:rPr>
          <w:rFonts w:ascii="Times New Roman" w:eastAsia="Calibri" w:hAnsi="Times New Roman"/>
          <w:color w:val="000000"/>
          <w:sz w:val="24"/>
          <w:szCs w:val="24"/>
          <w:lang w:val="fr-FR" w:eastAsia="en-US"/>
        </w:rPr>
        <w:t>pour la réalisation des études techniques d'aménagement des quatre (04) périmètres pastoraux ainsi que les études géophysiques d’implantation de quatre (04) forages à équiper de SHPA et assurer le contrôle-surveillance de l’ensemble des travaux d’aménagement et d’hydraulique.</w:t>
      </w:r>
    </w:p>
    <w:p w14:paraId="48C62DCA" w14:textId="77777777" w:rsidR="002733A2" w:rsidRPr="002733A2" w:rsidRDefault="002733A2" w:rsidP="002733A2">
      <w:pPr>
        <w:pStyle w:val="Paragraphedeliste"/>
        <w:ind w:left="0"/>
        <w:jc w:val="both"/>
        <w:rPr>
          <w:rFonts w:ascii="Times New Roman" w:hAnsi="Times New Roman"/>
          <w:bCs/>
          <w:szCs w:val="24"/>
        </w:rPr>
      </w:pPr>
    </w:p>
    <w:p w14:paraId="297AFD4C" w14:textId="77777777" w:rsidR="001B35C1" w:rsidRPr="001B35C1" w:rsidRDefault="00603BF4" w:rsidP="001B35C1">
      <w:pPr>
        <w:overflowPunct w:val="0"/>
        <w:autoSpaceDE w:val="0"/>
        <w:autoSpaceDN w:val="0"/>
        <w:adjustRightInd w:val="0"/>
        <w:spacing w:before="240"/>
        <w:jc w:val="both"/>
        <w:textAlignment w:val="baseline"/>
      </w:pPr>
      <w:r w:rsidRPr="00FE5614">
        <w:t>3</w:t>
      </w:r>
      <w:r w:rsidR="00D16B6D" w:rsidRPr="00846E99">
        <w:t xml:space="preserve">. </w:t>
      </w:r>
      <w:r w:rsidR="00846E99" w:rsidRPr="00846E99">
        <w:t xml:space="preserve"> </w:t>
      </w:r>
      <w:r w:rsidR="007211CE" w:rsidRPr="001B35C1">
        <w:t>Les services de consultant (« Services ») comprennent :</w:t>
      </w:r>
    </w:p>
    <w:p w14:paraId="63F8F641" w14:textId="77777777" w:rsidR="00482119" w:rsidRPr="00482119" w:rsidRDefault="00482119" w:rsidP="00482119">
      <w:pPr>
        <w:jc w:val="both"/>
        <w:rPr>
          <w:b/>
          <w:bCs/>
        </w:rPr>
      </w:pPr>
    </w:p>
    <w:p w14:paraId="610BFAC5" w14:textId="77777777" w:rsidR="00482119" w:rsidRPr="00482119" w:rsidRDefault="00482119" w:rsidP="00482119">
      <w:pPr>
        <w:numPr>
          <w:ilvl w:val="0"/>
          <w:numId w:val="45"/>
        </w:numPr>
        <w:autoSpaceDE w:val="0"/>
        <w:autoSpaceDN w:val="0"/>
        <w:adjustRightInd w:val="0"/>
        <w:jc w:val="both"/>
        <w:rPr>
          <w:bCs/>
        </w:rPr>
      </w:pPr>
      <w:proofErr w:type="gramStart"/>
      <w:r w:rsidRPr="00482119">
        <w:rPr>
          <w:bCs/>
        </w:rPr>
        <w:t>organiser</w:t>
      </w:r>
      <w:proofErr w:type="gramEnd"/>
      <w:r w:rsidRPr="00482119">
        <w:rPr>
          <w:bCs/>
        </w:rPr>
        <w:t xml:space="preserve"> des concertations avec les Communes et les bénéficiaires sur chaque site pour confirmer les résultats de l’ingénierie sociale ;</w:t>
      </w:r>
    </w:p>
    <w:p w14:paraId="23A04BA2" w14:textId="77777777" w:rsidR="00482119" w:rsidRPr="00482119" w:rsidRDefault="00482119" w:rsidP="00482119">
      <w:pPr>
        <w:numPr>
          <w:ilvl w:val="0"/>
          <w:numId w:val="45"/>
        </w:numPr>
        <w:autoSpaceDE w:val="0"/>
        <w:autoSpaceDN w:val="0"/>
        <w:adjustRightInd w:val="0"/>
        <w:jc w:val="both"/>
        <w:rPr>
          <w:bCs/>
        </w:rPr>
      </w:pPr>
      <w:proofErr w:type="gramStart"/>
      <w:r w:rsidRPr="00482119">
        <w:rPr>
          <w:bCs/>
        </w:rPr>
        <w:t>définir</w:t>
      </w:r>
      <w:proofErr w:type="gramEnd"/>
      <w:r w:rsidRPr="00482119">
        <w:rPr>
          <w:bCs/>
        </w:rPr>
        <w:t xml:space="preserve"> le pourtour de chaque site et évaluer sa longueur ; </w:t>
      </w:r>
    </w:p>
    <w:p w14:paraId="57824730" w14:textId="77777777" w:rsidR="00482119" w:rsidRPr="00482119" w:rsidRDefault="00482119" w:rsidP="00482119">
      <w:pPr>
        <w:numPr>
          <w:ilvl w:val="0"/>
          <w:numId w:val="45"/>
        </w:numPr>
        <w:autoSpaceDE w:val="0"/>
        <w:autoSpaceDN w:val="0"/>
        <w:adjustRightInd w:val="0"/>
        <w:jc w:val="both"/>
        <w:rPr>
          <w:bCs/>
        </w:rPr>
      </w:pPr>
      <w:proofErr w:type="gramStart"/>
      <w:r w:rsidRPr="00482119">
        <w:rPr>
          <w:bCs/>
        </w:rPr>
        <w:t>matérialiser</w:t>
      </w:r>
      <w:proofErr w:type="gramEnd"/>
      <w:r w:rsidRPr="00482119">
        <w:rPr>
          <w:bCs/>
        </w:rPr>
        <w:t xml:space="preserve"> à travers des coordonnées GPS les lieux d’implantation des balises de délimitation du pourtour;</w:t>
      </w:r>
    </w:p>
    <w:p w14:paraId="3BF1E543" w14:textId="77777777" w:rsidR="00482119" w:rsidRPr="00482119" w:rsidRDefault="00482119" w:rsidP="00482119">
      <w:pPr>
        <w:numPr>
          <w:ilvl w:val="0"/>
          <w:numId w:val="45"/>
        </w:numPr>
        <w:autoSpaceDE w:val="0"/>
        <w:autoSpaceDN w:val="0"/>
        <w:adjustRightInd w:val="0"/>
        <w:jc w:val="both"/>
        <w:rPr>
          <w:bCs/>
        </w:rPr>
      </w:pPr>
      <w:proofErr w:type="gramStart"/>
      <w:r w:rsidRPr="00482119">
        <w:rPr>
          <w:bCs/>
        </w:rPr>
        <w:t>indiquer</w:t>
      </w:r>
      <w:proofErr w:type="gramEnd"/>
      <w:r w:rsidRPr="00482119">
        <w:rPr>
          <w:bCs/>
        </w:rPr>
        <w:t xml:space="preserve"> le nombre de balises, les distances entre elles et leurs envergures (caractéristiques) ;</w:t>
      </w:r>
    </w:p>
    <w:p w14:paraId="49F51999" w14:textId="77777777" w:rsidR="00482119" w:rsidRPr="00482119" w:rsidRDefault="00482119" w:rsidP="00482119">
      <w:pPr>
        <w:pStyle w:val="Paragraphedeliste"/>
        <w:numPr>
          <w:ilvl w:val="0"/>
          <w:numId w:val="45"/>
        </w:numPr>
        <w:jc w:val="both"/>
        <w:rPr>
          <w:rFonts w:ascii="Times New Roman" w:hAnsi="Times New Roman"/>
          <w:sz w:val="24"/>
          <w:szCs w:val="24"/>
        </w:rPr>
      </w:pPr>
      <w:proofErr w:type="gramStart"/>
      <w:r w:rsidRPr="00482119">
        <w:rPr>
          <w:rFonts w:ascii="Times New Roman" w:hAnsi="Times New Roman"/>
          <w:sz w:val="24"/>
          <w:szCs w:val="24"/>
        </w:rPr>
        <w:t>décrire</w:t>
      </w:r>
      <w:proofErr w:type="gramEnd"/>
      <w:r w:rsidRPr="00482119">
        <w:rPr>
          <w:rFonts w:ascii="Times New Roman" w:hAnsi="Times New Roman"/>
          <w:sz w:val="24"/>
          <w:szCs w:val="24"/>
        </w:rPr>
        <w:t xml:space="preserve"> la zone d’implantation de chaque site ;</w:t>
      </w:r>
    </w:p>
    <w:p w14:paraId="5AE3EFC0" w14:textId="77777777" w:rsidR="00482119" w:rsidRPr="00482119" w:rsidRDefault="00482119" w:rsidP="00482119">
      <w:pPr>
        <w:pStyle w:val="Paragraphedeliste"/>
        <w:numPr>
          <w:ilvl w:val="0"/>
          <w:numId w:val="45"/>
        </w:numPr>
        <w:jc w:val="both"/>
        <w:rPr>
          <w:rFonts w:ascii="Times New Roman" w:hAnsi="Times New Roman"/>
          <w:sz w:val="24"/>
          <w:szCs w:val="24"/>
        </w:rPr>
      </w:pPr>
      <w:proofErr w:type="gramStart"/>
      <w:r w:rsidRPr="00482119">
        <w:rPr>
          <w:rFonts w:ascii="Times New Roman" w:hAnsi="Times New Roman"/>
          <w:sz w:val="24"/>
          <w:szCs w:val="24"/>
        </w:rPr>
        <w:t>décrire</w:t>
      </w:r>
      <w:proofErr w:type="gramEnd"/>
      <w:r w:rsidRPr="00482119">
        <w:rPr>
          <w:rFonts w:ascii="Times New Roman" w:hAnsi="Times New Roman"/>
          <w:sz w:val="24"/>
          <w:szCs w:val="24"/>
        </w:rPr>
        <w:t xml:space="preserve"> la végétation herbacée et ligneuse et évaluer la capacité de charge des pâturages de chaque site ;</w:t>
      </w:r>
    </w:p>
    <w:p w14:paraId="75718B8A" w14:textId="77777777" w:rsidR="00482119" w:rsidRPr="00482119" w:rsidRDefault="00482119" w:rsidP="00482119">
      <w:pPr>
        <w:numPr>
          <w:ilvl w:val="0"/>
          <w:numId w:val="45"/>
        </w:numPr>
        <w:autoSpaceDE w:val="0"/>
        <w:autoSpaceDN w:val="0"/>
        <w:adjustRightInd w:val="0"/>
        <w:jc w:val="both"/>
        <w:rPr>
          <w:bCs/>
        </w:rPr>
      </w:pPr>
      <w:proofErr w:type="gramStart"/>
      <w:r w:rsidRPr="00482119">
        <w:rPr>
          <w:bCs/>
        </w:rPr>
        <w:t>déterminer</w:t>
      </w:r>
      <w:proofErr w:type="gramEnd"/>
      <w:r w:rsidRPr="00482119">
        <w:rPr>
          <w:bCs/>
        </w:rPr>
        <w:t xml:space="preserve"> la longueur des pares-feux à réaliser par site ; </w:t>
      </w:r>
    </w:p>
    <w:p w14:paraId="20031177" w14:textId="77777777" w:rsidR="00482119" w:rsidRPr="00482119" w:rsidRDefault="00482119" w:rsidP="00482119">
      <w:pPr>
        <w:numPr>
          <w:ilvl w:val="0"/>
          <w:numId w:val="45"/>
        </w:numPr>
        <w:autoSpaceDE w:val="0"/>
        <w:autoSpaceDN w:val="0"/>
        <w:adjustRightInd w:val="0"/>
        <w:jc w:val="both"/>
        <w:rPr>
          <w:bCs/>
        </w:rPr>
      </w:pPr>
      <w:proofErr w:type="gramStart"/>
      <w:r w:rsidRPr="00482119">
        <w:rPr>
          <w:bCs/>
        </w:rPr>
        <w:t>identifier</w:t>
      </w:r>
      <w:proofErr w:type="gramEnd"/>
      <w:r w:rsidRPr="00482119">
        <w:rPr>
          <w:bCs/>
        </w:rPr>
        <w:t xml:space="preserve"> les zones dégradées nécessitant des actions de restauration dans chaque site et l’évaluation de leurs superficies.</w:t>
      </w:r>
    </w:p>
    <w:p w14:paraId="70EE48EB" w14:textId="77777777" w:rsidR="00482119" w:rsidRPr="00482119" w:rsidRDefault="00482119" w:rsidP="00482119">
      <w:pPr>
        <w:numPr>
          <w:ilvl w:val="0"/>
          <w:numId w:val="45"/>
        </w:numPr>
        <w:autoSpaceDE w:val="0"/>
        <w:autoSpaceDN w:val="0"/>
        <w:adjustRightInd w:val="0"/>
        <w:jc w:val="both"/>
        <w:rPr>
          <w:bCs/>
        </w:rPr>
      </w:pPr>
      <w:r w:rsidRPr="00482119">
        <w:rPr>
          <w:bCs/>
        </w:rPr>
        <w:lastRenderedPageBreak/>
        <w:t xml:space="preserve">La réalisation des différentes études (Hydrogéologiques, géophysiques, topographiques, etc.) ; </w:t>
      </w:r>
    </w:p>
    <w:p w14:paraId="007052B1" w14:textId="77777777" w:rsidR="00482119" w:rsidRPr="00482119" w:rsidRDefault="00482119" w:rsidP="00482119">
      <w:pPr>
        <w:numPr>
          <w:ilvl w:val="0"/>
          <w:numId w:val="45"/>
        </w:numPr>
        <w:autoSpaceDE w:val="0"/>
        <w:autoSpaceDN w:val="0"/>
        <w:adjustRightInd w:val="0"/>
        <w:jc w:val="both"/>
        <w:rPr>
          <w:bCs/>
        </w:rPr>
      </w:pPr>
      <w:r w:rsidRPr="00482119">
        <w:rPr>
          <w:bCs/>
        </w:rPr>
        <w:t>L’implantation des quatre (04) forages par photo-interprétation et prospections géophysiques et géomorphologiques (et produire les rapports sur les études d’implantation) ;</w:t>
      </w:r>
    </w:p>
    <w:p w14:paraId="7020F264" w14:textId="77777777" w:rsidR="00482119" w:rsidRPr="00482119" w:rsidRDefault="00482119" w:rsidP="00482119">
      <w:pPr>
        <w:numPr>
          <w:ilvl w:val="0"/>
          <w:numId w:val="45"/>
        </w:numPr>
        <w:rPr>
          <w:bCs/>
        </w:rPr>
      </w:pPr>
      <w:r w:rsidRPr="00482119">
        <w:rPr>
          <w:bCs/>
        </w:rPr>
        <w:t>Diagnostiquer les points d’eau existants (qualité, quantité, niveau statique et position) ;</w:t>
      </w:r>
    </w:p>
    <w:p w14:paraId="443890E3" w14:textId="77777777" w:rsidR="00482119" w:rsidRPr="00482119" w:rsidRDefault="00482119" w:rsidP="00482119">
      <w:pPr>
        <w:pStyle w:val="Paragraphedeliste"/>
        <w:numPr>
          <w:ilvl w:val="0"/>
          <w:numId w:val="45"/>
        </w:numPr>
        <w:overflowPunct w:val="0"/>
        <w:autoSpaceDE w:val="0"/>
        <w:autoSpaceDN w:val="0"/>
        <w:adjustRightInd w:val="0"/>
        <w:contextualSpacing w:val="0"/>
        <w:jc w:val="both"/>
        <w:textAlignment w:val="baseline"/>
        <w:rPr>
          <w:rFonts w:ascii="Times New Roman" w:hAnsi="Times New Roman"/>
          <w:sz w:val="24"/>
          <w:szCs w:val="24"/>
          <w:lang w:val="fr-ML"/>
        </w:rPr>
      </w:pPr>
      <w:r w:rsidRPr="00482119">
        <w:rPr>
          <w:rFonts w:ascii="Times New Roman" w:hAnsi="Times New Roman"/>
          <w:bCs/>
          <w:sz w:val="24"/>
          <w:szCs w:val="24"/>
        </w:rPr>
        <w:t>L’élaboration des caractéristiques, des spécifications techniques et normes pour la fourniture et l’installation du matériel d’exhaure, d’adduction, de stockage, de traitement et de distribution ainsi que d’assainissement</w:t>
      </w:r>
      <w:r w:rsidRPr="00482119">
        <w:rPr>
          <w:rFonts w:ascii="Times New Roman" w:hAnsi="Times New Roman"/>
          <w:bCs/>
          <w:sz w:val="24"/>
          <w:szCs w:val="24"/>
        </w:rPr>
        <w:t xml:space="preserve"> des équipements ;</w:t>
      </w:r>
    </w:p>
    <w:p w14:paraId="105CDA95" w14:textId="06F4248D" w:rsidR="00482119" w:rsidRPr="00482119" w:rsidRDefault="00482119" w:rsidP="0051160D">
      <w:pPr>
        <w:pStyle w:val="Paragraphedeliste"/>
        <w:numPr>
          <w:ilvl w:val="0"/>
          <w:numId w:val="45"/>
        </w:numPr>
        <w:jc w:val="both"/>
        <w:rPr>
          <w:rFonts w:ascii="Times New Roman" w:hAnsi="Times New Roman"/>
          <w:sz w:val="24"/>
          <w:szCs w:val="24"/>
        </w:rPr>
      </w:pPr>
      <w:proofErr w:type="gramStart"/>
      <w:r w:rsidRPr="00482119">
        <w:rPr>
          <w:rFonts w:ascii="Times New Roman" w:hAnsi="Times New Roman"/>
          <w:sz w:val="24"/>
          <w:szCs w:val="24"/>
        </w:rPr>
        <w:t>contrôle</w:t>
      </w:r>
      <w:proofErr w:type="gramEnd"/>
      <w:r w:rsidRPr="00482119">
        <w:rPr>
          <w:rFonts w:ascii="Times New Roman" w:hAnsi="Times New Roman"/>
          <w:sz w:val="24"/>
          <w:szCs w:val="24"/>
        </w:rPr>
        <w:t xml:space="preserve"> de la bonne exécution de l’ensemble des travaux et doit veiller au respect </w:t>
      </w:r>
      <w:r>
        <w:rPr>
          <w:rFonts w:ascii="Times New Roman" w:hAnsi="Times New Roman"/>
          <w:sz w:val="24"/>
          <w:szCs w:val="24"/>
        </w:rPr>
        <w:t>d</w:t>
      </w:r>
      <w:r w:rsidRPr="00482119">
        <w:rPr>
          <w:rFonts w:ascii="Times New Roman" w:hAnsi="Times New Roman"/>
          <w:sz w:val="24"/>
          <w:szCs w:val="24"/>
        </w:rPr>
        <w:t>es quantités prévues ;</w:t>
      </w:r>
      <w:r>
        <w:rPr>
          <w:rFonts w:ascii="Times New Roman" w:hAnsi="Times New Roman"/>
          <w:sz w:val="24"/>
          <w:szCs w:val="24"/>
        </w:rPr>
        <w:t xml:space="preserve"> d</w:t>
      </w:r>
      <w:r w:rsidRPr="00482119">
        <w:rPr>
          <w:rFonts w:ascii="Times New Roman" w:hAnsi="Times New Roman"/>
          <w:sz w:val="24"/>
          <w:szCs w:val="24"/>
        </w:rPr>
        <w:t xml:space="preserve">e la qualité exigée à travers les spécifications techniques </w:t>
      </w:r>
      <w:r w:rsidRPr="00482119">
        <w:rPr>
          <w:rFonts w:ascii="Times New Roman" w:hAnsi="Times New Roman"/>
          <w:sz w:val="24"/>
          <w:szCs w:val="24"/>
        </w:rPr>
        <w:t>et d</w:t>
      </w:r>
      <w:r w:rsidRPr="00482119">
        <w:rPr>
          <w:rFonts w:ascii="Times New Roman" w:hAnsi="Times New Roman"/>
          <w:sz w:val="24"/>
          <w:szCs w:val="24"/>
        </w:rPr>
        <w:t>es délais d’exécution prévus.</w:t>
      </w:r>
    </w:p>
    <w:p w14:paraId="4AC79DFA" w14:textId="4729C611" w:rsidR="005E436C" w:rsidRDefault="005E436C" w:rsidP="001B35C1">
      <w:pPr>
        <w:ind w:right="22"/>
        <w:jc w:val="both"/>
      </w:pPr>
    </w:p>
    <w:p w14:paraId="154B4983" w14:textId="7F59CA33" w:rsidR="00650B67" w:rsidRDefault="00D86933" w:rsidP="005E436C">
      <w:pPr>
        <w:jc w:val="both"/>
      </w:pPr>
      <w:r w:rsidRPr="00D86933">
        <w:t>Les délais d’exécution des prestation</w:t>
      </w:r>
      <w:r w:rsidR="00EF034F">
        <w:t xml:space="preserve">s décrites ci-dessus et objet </w:t>
      </w:r>
      <w:r w:rsidR="00EF034F" w:rsidRPr="0045701F">
        <w:t>d</w:t>
      </w:r>
      <w:r w:rsidR="00881DD5">
        <w:t xml:space="preserve">u présent </w:t>
      </w:r>
      <w:r w:rsidR="00B55E55" w:rsidRPr="0045701F">
        <w:t>Avis de Manifestation</w:t>
      </w:r>
      <w:r w:rsidR="00D61C51">
        <w:t>s</w:t>
      </w:r>
      <w:r w:rsidR="00B55E55" w:rsidRPr="0045701F">
        <w:t xml:space="preserve"> d’Intérêt</w:t>
      </w:r>
      <w:r w:rsidRPr="0045701F">
        <w:t xml:space="preserve">, </w:t>
      </w:r>
      <w:r w:rsidRPr="00D86933">
        <w:t xml:space="preserve">sont fixés à </w:t>
      </w:r>
      <w:r w:rsidR="00AD0EEC">
        <w:t>cent-cinquante</w:t>
      </w:r>
      <w:r w:rsidR="001B35C1">
        <w:t xml:space="preserve"> (</w:t>
      </w:r>
      <w:r w:rsidR="00AD0EEC">
        <w:t>15</w:t>
      </w:r>
      <w:r w:rsidR="001B35C1">
        <w:t xml:space="preserve">0) jours, dont </w:t>
      </w:r>
      <w:r w:rsidR="00AD0EEC">
        <w:t xml:space="preserve">soixante (60) jours </w:t>
      </w:r>
      <w:r w:rsidR="001B35C1">
        <w:t xml:space="preserve">pour la phase Etudes et </w:t>
      </w:r>
      <w:r w:rsidR="00AD0EEC">
        <w:t>quatre-vingt-dix (90) jours</w:t>
      </w:r>
      <w:r w:rsidR="00AD0EEC">
        <w:t xml:space="preserve"> </w:t>
      </w:r>
      <w:r w:rsidR="00732DD7">
        <w:t xml:space="preserve">pour la phase </w:t>
      </w:r>
      <w:r w:rsidR="00264CD6" w:rsidRPr="00264CD6">
        <w:t>contrôle-surveillance</w:t>
      </w:r>
      <w:r>
        <w:t>.</w:t>
      </w:r>
    </w:p>
    <w:p w14:paraId="24DB091C" w14:textId="77777777" w:rsidR="00D86933" w:rsidRPr="00D86933" w:rsidRDefault="00D86933" w:rsidP="005E436C">
      <w:pPr>
        <w:jc w:val="both"/>
      </w:pPr>
    </w:p>
    <w:p w14:paraId="3FDD0A38" w14:textId="77777777" w:rsidR="00D86933" w:rsidRDefault="00603BF4" w:rsidP="00D86933">
      <w:pPr>
        <w:jc w:val="both"/>
        <w:rPr>
          <w:bCs/>
          <w:color w:val="000000"/>
        </w:rPr>
      </w:pPr>
      <w:r>
        <w:rPr>
          <w:bCs/>
        </w:rPr>
        <w:t>4</w:t>
      </w:r>
      <w:r w:rsidR="008A49BE" w:rsidRPr="00020279">
        <w:rPr>
          <w:bCs/>
        </w:rPr>
        <w:t xml:space="preserve">. </w:t>
      </w:r>
      <w:r w:rsidR="008A49BE" w:rsidRPr="00020279">
        <w:rPr>
          <w:bCs/>
        </w:rPr>
        <w:tab/>
      </w:r>
      <w:r w:rsidR="00DA7476" w:rsidRPr="00711542">
        <w:rPr>
          <w:bCs/>
        </w:rPr>
        <w:t xml:space="preserve">L’Unité de </w:t>
      </w:r>
      <w:r w:rsidR="002C2405" w:rsidRPr="00711542">
        <w:rPr>
          <w:bCs/>
        </w:rPr>
        <w:t>Coordination du P</w:t>
      </w:r>
      <w:r w:rsidR="00DA7476" w:rsidRPr="00711542">
        <w:rPr>
          <w:bCs/>
        </w:rPr>
        <w:t>R</w:t>
      </w:r>
      <w:r w:rsidR="00C33CC2" w:rsidRPr="00711542">
        <w:rPr>
          <w:bCs/>
        </w:rPr>
        <w:t>A</w:t>
      </w:r>
      <w:r w:rsidR="00DA7476" w:rsidRPr="00711542">
        <w:rPr>
          <w:bCs/>
        </w:rPr>
        <w:t>P</w:t>
      </w:r>
      <w:r w:rsidR="00C33CC2" w:rsidRPr="00711542">
        <w:rPr>
          <w:bCs/>
        </w:rPr>
        <w:t>S</w:t>
      </w:r>
      <w:r w:rsidR="00E7660E">
        <w:rPr>
          <w:bCs/>
        </w:rPr>
        <w:t xml:space="preserve"> II</w:t>
      </w:r>
      <w:r w:rsidR="00784E0F" w:rsidRPr="00711542">
        <w:rPr>
          <w:bCs/>
        </w:rPr>
        <w:t>-ML/PADEL-M</w:t>
      </w:r>
      <w:r w:rsidR="004A4E63" w:rsidRPr="00711542">
        <w:rPr>
          <w:bCs/>
        </w:rPr>
        <w:t xml:space="preserve"> </w:t>
      </w:r>
      <w:r w:rsidR="003A44C5" w:rsidRPr="00711542">
        <w:t xml:space="preserve">invite les </w:t>
      </w:r>
      <w:r w:rsidR="00233274" w:rsidRPr="00711542">
        <w:t xml:space="preserve">consultants </w:t>
      </w:r>
      <w:r w:rsidR="003A44C5" w:rsidRPr="00711542">
        <w:t xml:space="preserve">admissibles à manifester leur intérêt à fournir les services décrits ci-dessus. Les Consultants intéressés doivent fournir les informations démontrant qu’ils possèdent les qualifications requises et une expérience pertinente pour </w:t>
      </w:r>
      <w:r w:rsidR="00020279" w:rsidRPr="00711542">
        <w:t>l’exécution des</w:t>
      </w:r>
      <w:r w:rsidR="003A44C5" w:rsidRPr="00711542">
        <w:t xml:space="preserve"> Services</w:t>
      </w:r>
      <w:r w:rsidR="00474B71" w:rsidRPr="00711542">
        <w:t>.</w:t>
      </w:r>
      <w:r w:rsidR="00020279" w:rsidRPr="00711542">
        <w:t xml:space="preserve"> </w:t>
      </w:r>
      <w:r w:rsidR="00D86933" w:rsidRPr="00223D88">
        <w:t>Les critères pour l’établissement de la liste restreinte sont :</w:t>
      </w:r>
      <w:r w:rsidR="00D86933" w:rsidRPr="008311A1">
        <w:rPr>
          <w:bCs/>
          <w:color w:val="000000"/>
        </w:rPr>
        <w:t xml:space="preserve"> </w:t>
      </w:r>
    </w:p>
    <w:p w14:paraId="3E8837CF" w14:textId="1DDDD685" w:rsidR="00020279" w:rsidRDefault="00020279" w:rsidP="00020279">
      <w:pPr>
        <w:jc w:val="both"/>
      </w:pPr>
    </w:p>
    <w:p w14:paraId="0C42F456" w14:textId="77777777" w:rsidR="00D86933" w:rsidRPr="008311A1" w:rsidRDefault="00D86933" w:rsidP="00D86933">
      <w:pPr>
        <w:numPr>
          <w:ilvl w:val="0"/>
          <w:numId w:val="7"/>
        </w:numPr>
        <w:jc w:val="both"/>
        <w:rPr>
          <w:color w:val="FF0000"/>
        </w:rPr>
      </w:pPr>
      <w:r w:rsidRPr="008311A1">
        <w:rPr>
          <w:bCs/>
          <w:color w:val="000000"/>
        </w:rPr>
        <w:t xml:space="preserve">Expérience dans le domaine de la mission, </w:t>
      </w:r>
    </w:p>
    <w:p w14:paraId="7FA42E93" w14:textId="77777777" w:rsidR="00D86933" w:rsidRPr="008311A1" w:rsidRDefault="00D86933" w:rsidP="00D86933">
      <w:pPr>
        <w:numPr>
          <w:ilvl w:val="0"/>
          <w:numId w:val="7"/>
        </w:numPr>
        <w:jc w:val="both"/>
        <w:rPr>
          <w:color w:val="FF0000"/>
        </w:rPr>
      </w:pPr>
      <w:r>
        <w:rPr>
          <w:bCs/>
          <w:color w:val="000000"/>
        </w:rPr>
        <w:t>E</w:t>
      </w:r>
      <w:r w:rsidRPr="008311A1">
        <w:rPr>
          <w:bCs/>
          <w:color w:val="000000"/>
        </w:rPr>
        <w:t xml:space="preserve">xécution de contrats similaires, </w:t>
      </w:r>
    </w:p>
    <w:p w14:paraId="589BCB77" w14:textId="77777777" w:rsidR="00D86933" w:rsidRDefault="00D86933" w:rsidP="00D86933">
      <w:pPr>
        <w:numPr>
          <w:ilvl w:val="0"/>
          <w:numId w:val="7"/>
        </w:numPr>
        <w:jc w:val="both"/>
        <w:rPr>
          <w:bCs/>
          <w:color w:val="000000"/>
        </w:rPr>
      </w:pPr>
      <w:r>
        <w:rPr>
          <w:bCs/>
          <w:color w:val="000000"/>
        </w:rPr>
        <w:t>Qualifications du personnel permanent de la firme.</w:t>
      </w:r>
    </w:p>
    <w:p w14:paraId="6C43B5EA" w14:textId="77777777" w:rsidR="00F154E0" w:rsidRDefault="00F154E0" w:rsidP="00F154E0">
      <w:pPr>
        <w:ind w:left="720"/>
        <w:jc w:val="both"/>
      </w:pPr>
    </w:p>
    <w:p w14:paraId="3E8837D7" w14:textId="17227FD4" w:rsidR="003A44C5" w:rsidRPr="00782754" w:rsidRDefault="00603BF4" w:rsidP="005D269B">
      <w:pPr>
        <w:tabs>
          <w:tab w:val="left" w:pos="567"/>
        </w:tabs>
        <w:jc w:val="both"/>
      </w:pPr>
      <w:r>
        <w:rPr>
          <w:bCs/>
          <w:color w:val="000000"/>
        </w:rPr>
        <w:t>5</w:t>
      </w:r>
      <w:r w:rsidR="003A44C5">
        <w:rPr>
          <w:bCs/>
          <w:color w:val="000000"/>
        </w:rPr>
        <w:t>.</w:t>
      </w:r>
      <w:r w:rsidR="003A44C5">
        <w:rPr>
          <w:bCs/>
          <w:color w:val="000000"/>
        </w:rPr>
        <w:tab/>
      </w:r>
      <w:r w:rsidR="003A44C5" w:rsidRPr="009E793F">
        <w:rPr>
          <w:bCs/>
          <w:color w:val="000000"/>
        </w:rPr>
        <w:t>Il est</w:t>
      </w:r>
      <w:r w:rsidR="003A44C5" w:rsidRPr="009E793F">
        <w:t xml:space="preserve"> porté à l’attention des Consultants </w:t>
      </w:r>
      <w:r w:rsidR="008508CE">
        <w:t>que les dispositions de la clause 3.</w:t>
      </w:r>
      <w:r w:rsidR="00BD2EBA">
        <w:t>1</w:t>
      </w:r>
      <w:r w:rsidR="00E56A3F">
        <w:t>5</w:t>
      </w:r>
      <w:r w:rsidR="008508CE">
        <w:t xml:space="preserve"> d) du</w:t>
      </w:r>
      <w:r w:rsidR="008508CE" w:rsidRPr="009E793F">
        <w:t xml:space="preserve"> </w:t>
      </w:r>
      <w:r w:rsidR="003A44C5" w:rsidRPr="009E793F">
        <w:t>« </w:t>
      </w:r>
      <w:bookmarkStart w:id="4" w:name="_Hlk521323468"/>
      <w:r w:rsidR="00711542">
        <w:t>Règlement de Passation des Marchés pour les Emprunteurs sollicitant le Financement de Projets (FPI</w:t>
      </w:r>
      <w:bookmarkEnd w:id="4"/>
      <w:r w:rsidR="00711542">
        <w:t>)</w:t>
      </w:r>
      <w:r w:rsidR="00711542" w:rsidRPr="009E793F">
        <w:t xml:space="preserve"> »</w:t>
      </w:r>
      <w:r w:rsidR="003A44C5" w:rsidRPr="009E793F">
        <w:t xml:space="preserve"> </w:t>
      </w:r>
      <w:r w:rsidR="009E793F" w:rsidRPr="009E793F">
        <w:t xml:space="preserve">datées </w:t>
      </w:r>
      <w:r w:rsidR="00711542">
        <w:t xml:space="preserve">de Juillet 2016, </w:t>
      </w:r>
      <w:r w:rsidR="00711542" w:rsidRPr="00D85B0D">
        <w:t>révisé en Novembre 2017</w:t>
      </w:r>
      <w:r w:rsidR="003A44C5" w:rsidRPr="00D85B0D">
        <w:t>,</w:t>
      </w:r>
      <w:r w:rsidR="008619B7" w:rsidRPr="008619B7">
        <w:rPr>
          <w:bCs/>
          <w:lang w:val="fr-CA"/>
        </w:rPr>
        <w:t xml:space="preserve"> </w:t>
      </w:r>
      <w:r w:rsidR="008619B7" w:rsidRPr="008B64B0">
        <w:rPr>
          <w:bCs/>
          <w:lang w:val="fr-CA"/>
        </w:rPr>
        <w:t>Août 2018 et Novembre 2020</w:t>
      </w:r>
      <w:r w:rsidR="008619B7" w:rsidRPr="00486172">
        <w:rPr>
          <w:sz w:val="22"/>
          <w:szCs w:val="22"/>
        </w:rPr>
        <w:t> </w:t>
      </w:r>
      <w:r w:rsidR="00BD2EBA" w:rsidRPr="00D85B0D">
        <w:t>r</w:t>
      </w:r>
      <w:r w:rsidR="00BD2EBA" w:rsidRPr="00782754">
        <w:t>elatives aux règles de la Banque mondiale en matière de conflit d’intérêts sont applicables</w:t>
      </w:r>
      <w:r w:rsidR="003A44C5" w:rsidRPr="00782754">
        <w:t xml:space="preserve">. </w:t>
      </w:r>
    </w:p>
    <w:p w14:paraId="3E8837D8" w14:textId="77777777" w:rsidR="003A44C5" w:rsidRPr="00782754" w:rsidRDefault="003A44C5" w:rsidP="003A44C5">
      <w:pPr>
        <w:ind w:left="720"/>
      </w:pPr>
    </w:p>
    <w:p w14:paraId="3E8837D9" w14:textId="2E4B0C27" w:rsidR="003A44C5" w:rsidRDefault="00603BF4" w:rsidP="003A44C5">
      <w:pPr>
        <w:tabs>
          <w:tab w:val="left" w:pos="567"/>
        </w:tabs>
        <w:ind w:right="72"/>
        <w:jc w:val="both"/>
      </w:pPr>
      <w:r>
        <w:t>6</w:t>
      </w:r>
      <w:r w:rsidR="003A44C5">
        <w:t>.</w:t>
      </w:r>
      <w:r w:rsidR="003A44C5">
        <w:tab/>
      </w:r>
      <w:r w:rsidR="00D86933" w:rsidRPr="00223D88">
        <w:t xml:space="preserve">Un Consultant sera sélectionné selon la </w:t>
      </w:r>
      <w:r w:rsidR="00D86933">
        <w:t>Sélection Fondée sur les Qualifications des Consultants (Q</w:t>
      </w:r>
      <w:r w:rsidR="00B576E3">
        <w:t>C</w:t>
      </w:r>
      <w:r w:rsidR="00D86933">
        <w:t>)</w:t>
      </w:r>
      <w:r w:rsidR="00D86933" w:rsidRPr="00223D88">
        <w:t xml:space="preserve"> telle que décrite dans le</w:t>
      </w:r>
      <w:r w:rsidR="00D86933">
        <w:t xml:space="preserve"> Règlement de Passation de Marchés.</w:t>
      </w:r>
    </w:p>
    <w:p w14:paraId="3E8837DA" w14:textId="77777777" w:rsidR="00E51737" w:rsidRPr="00223D88" w:rsidRDefault="00E51737" w:rsidP="003A44C5">
      <w:pPr>
        <w:tabs>
          <w:tab w:val="left" w:pos="567"/>
        </w:tabs>
        <w:ind w:right="72"/>
        <w:jc w:val="both"/>
      </w:pPr>
    </w:p>
    <w:p w14:paraId="3E8837DB" w14:textId="66C98A20" w:rsidR="00CF1A8A" w:rsidRDefault="00603BF4" w:rsidP="0078258E">
      <w:pPr>
        <w:pStyle w:val="Paragraphedeliste"/>
        <w:tabs>
          <w:tab w:val="left" w:pos="567"/>
        </w:tabs>
        <w:ind w:left="0"/>
        <w:jc w:val="both"/>
        <w:rPr>
          <w:rFonts w:ascii="Times New Roman" w:hAnsi="Times New Roman"/>
          <w:sz w:val="24"/>
          <w:szCs w:val="24"/>
        </w:rPr>
      </w:pPr>
      <w:r>
        <w:rPr>
          <w:rFonts w:ascii="Times New Roman" w:hAnsi="Times New Roman"/>
          <w:sz w:val="24"/>
          <w:szCs w:val="24"/>
        </w:rPr>
        <w:t>7</w:t>
      </w:r>
      <w:r w:rsidR="0078258E" w:rsidRPr="00584E67">
        <w:rPr>
          <w:rFonts w:ascii="Times New Roman" w:hAnsi="Times New Roman"/>
          <w:sz w:val="24"/>
          <w:szCs w:val="24"/>
        </w:rPr>
        <w:t xml:space="preserve">. </w:t>
      </w:r>
      <w:r w:rsidR="0078258E" w:rsidRPr="00584E67">
        <w:rPr>
          <w:rFonts w:ascii="Times New Roman" w:hAnsi="Times New Roman"/>
          <w:sz w:val="24"/>
          <w:szCs w:val="24"/>
        </w:rPr>
        <w:tab/>
      </w:r>
      <w:r w:rsidR="00CF1A8A" w:rsidRPr="00584E67">
        <w:rPr>
          <w:rFonts w:ascii="Times New Roman" w:hAnsi="Times New Roman"/>
          <w:sz w:val="24"/>
          <w:szCs w:val="24"/>
        </w:rPr>
        <w:t>Les consultants intéressés peuvent obtenir des informations complémentaires</w:t>
      </w:r>
      <w:r w:rsidR="00667220">
        <w:rPr>
          <w:rFonts w:ascii="Times New Roman" w:hAnsi="Times New Roman"/>
          <w:sz w:val="24"/>
          <w:szCs w:val="24"/>
        </w:rPr>
        <w:t xml:space="preserve"> </w:t>
      </w:r>
      <w:r w:rsidR="00CF1A8A" w:rsidRPr="00584E67">
        <w:rPr>
          <w:rFonts w:ascii="Times New Roman" w:hAnsi="Times New Roman"/>
          <w:sz w:val="24"/>
          <w:szCs w:val="24"/>
        </w:rPr>
        <w:t xml:space="preserve">pendant les jours ouvrables à l'adresse ci-dessous de 08 heures à 16 heures </w:t>
      </w:r>
      <w:r w:rsidR="003A44C5">
        <w:rPr>
          <w:rFonts w:ascii="Times New Roman" w:hAnsi="Times New Roman"/>
          <w:sz w:val="24"/>
          <w:szCs w:val="24"/>
        </w:rPr>
        <w:t>TU</w:t>
      </w:r>
      <w:r w:rsidR="00C404D3">
        <w:rPr>
          <w:rFonts w:ascii="Times New Roman" w:hAnsi="Times New Roman"/>
          <w:sz w:val="24"/>
          <w:szCs w:val="24"/>
        </w:rPr>
        <w:t>.</w:t>
      </w:r>
    </w:p>
    <w:p w14:paraId="3E8837DC" w14:textId="77777777" w:rsidR="00CD4380" w:rsidRPr="00584E67" w:rsidRDefault="00CD4380" w:rsidP="0078258E">
      <w:pPr>
        <w:pStyle w:val="Paragraphedeliste"/>
        <w:tabs>
          <w:tab w:val="left" w:pos="567"/>
        </w:tabs>
        <w:ind w:left="0"/>
        <w:jc w:val="both"/>
        <w:rPr>
          <w:rFonts w:ascii="Times New Roman" w:hAnsi="Times New Roman"/>
          <w:sz w:val="24"/>
          <w:szCs w:val="24"/>
        </w:rPr>
      </w:pPr>
    </w:p>
    <w:p w14:paraId="348A07F4" w14:textId="5D837C25" w:rsidR="00D86933" w:rsidRPr="00846E99" w:rsidRDefault="00603BF4" w:rsidP="00D86933">
      <w:pPr>
        <w:tabs>
          <w:tab w:val="left" w:pos="567"/>
        </w:tabs>
        <w:jc w:val="both"/>
      </w:pPr>
      <w:r>
        <w:t>8</w:t>
      </w:r>
      <w:r w:rsidR="0078258E" w:rsidRPr="00584E67">
        <w:t xml:space="preserve">. </w:t>
      </w:r>
      <w:r w:rsidR="0078258E" w:rsidRPr="00584E67">
        <w:tab/>
      </w:r>
      <w:r w:rsidR="00D86933" w:rsidRPr="00846E99">
        <w:t xml:space="preserve">Les manifestations d'intérêt </w:t>
      </w:r>
      <w:r w:rsidR="00D86933">
        <w:t>qui comprennent </w:t>
      </w:r>
      <w:r w:rsidR="00D86933" w:rsidRPr="00332B59">
        <w:t xml:space="preserve">: </w:t>
      </w:r>
      <w:r w:rsidR="00D86933">
        <w:t>les pièces administratives à jour (Registre de commerce, Agrément ou carte professionnelle ou document équivalent, quitus fiscal, certificat de non faillite), la preuve de réalisation d’expériences similaires (attestations de services faits, copies des pages de garde et pages de signature de marchés correspondants) et les CV du personnel permanent de la firme</w:t>
      </w:r>
      <w:r w:rsidR="00D86933" w:rsidRPr="00332B59">
        <w:t xml:space="preserve">, doivent être déposées par courrier physique </w:t>
      </w:r>
      <w:r w:rsidR="00D86933" w:rsidRPr="00881DD5">
        <w:t>ou</w:t>
      </w:r>
      <w:r w:rsidR="00D86933" w:rsidRPr="00332B59">
        <w:t xml:space="preserve"> électronique à l’adresse ci-dessous au plus tard le </w:t>
      </w:r>
      <w:r w:rsidR="00502BD9">
        <w:rPr>
          <w:b/>
        </w:rPr>
        <w:t>14</w:t>
      </w:r>
      <w:r w:rsidR="00A74133">
        <w:rPr>
          <w:b/>
        </w:rPr>
        <w:t xml:space="preserve"> Mai</w:t>
      </w:r>
      <w:r w:rsidR="00881DD5">
        <w:rPr>
          <w:b/>
        </w:rPr>
        <w:t xml:space="preserve"> </w:t>
      </w:r>
      <w:r w:rsidR="00D86933" w:rsidRPr="00D77729">
        <w:rPr>
          <w:b/>
        </w:rPr>
        <w:t>202</w:t>
      </w:r>
      <w:r w:rsidR="00A74133">
        <w:rPr>
          <w:b/>
        </w:rPr>
        <w:t>4</w:t>
      </w:r>
      <w:r w:rsidR="00D86933" w:rsidRPr="00D77729">
        <w:rPr>
          <w:b/>
        </w:rPr>
        <w:t xml:space="preserve"> à 16H 00 TU </w:t>
      </w:r>
      <w:r w:rsidR="00D86933" w:rsidRPr="00D77729">
        <w:t>avec la mention suivante :</w:t>
      </w:r>
    </w:p>
    <w:p w14:paraId="3E8837DE" w14:textId="10EECF0E" w:rsidR="00EC4097" w:rsidRPr="00846E99" w:rsidRDefault="00EC4097" w:rsidP="00D86933">
      <w:pPr>
        <w:tabs>
          <w:tab w:val="left" w:pos="567"/>
        </w:tabs>
        <w:jc w:val="both"/>
      </w:pPr>
    </w:p>
    <w:p w14:paraId="3E8837DF" w14:textId="094D3FA1" w:rsidR="00EC4097" w:rsidRPr="00C46072" w:rsidRDefault="00EC4097" w:rsidP="00D30C6D">
      <w:pPr>
        <w:numPr>
          <w:ilvl w:val="0"/>
          <w:numId w:val="4"/>
        </w:numPr>
        <w:tabs>
          <w:tab w:val="left" w:pos="709"/>
        </w:tabs>
        <w:ind w:left="709" w:hanging="425"/>
        <w:jc w:val="both"/>
      </w:pPr>
      <w:r w:rsidRPr="00C46072">
        <w:t xml:space="preserve">Projet </w:t>
      </w:r>
      <w:r w:rsidR="00CB1C38">
        <w:t xml:space="preserve">Régional </w:t>
      </w:r>
      <w:r w:rsidRPr="00C46072">
        <w:t>d’A</w:t>
      </w:r>
      <w:r w:rsidR="00DA7476" w:rsidRPr="00C46072">
        <w:t>ppu</w:t>
      </w:r>
      <w:r w:rsidR="004A4E63" w:rsidRPr="00C46072">
        <w:t xml:space="preserve">i </w:t>
      </w:r>
      <w:r w:rsidR="00DA7476" w:rsidRPr="00C46072">
        <w:t xml:space="preserve">au </w:t>
      </w:r>
      <w:r w:rsidR="00CB1C38">
        <w:t>Pastoralisme au Sahel</w:t>
      </w:r>
      <w:r w:rsidR="00711542" w:rsidRPr="00C46072">
        <w:t xml:space="preserve"> au Mali</w:t>
      </w:r>
      <w:r w:rsidR="00CB1C38">
        <w:t xml:space="preserve"> Phase II</w:t>
      </w:r>
    </w:p>
    <w:p w14:paraId="3E8837E0" w14:textId="310AA627" w:rsidR="00C7495E" w:rsidRPr="00C46072" w:rsidRDefault="00EC4097" w:rsidP="004C1FC7">
      <w:pPr>
        <w:pStyle w:val="Paragraphedeliste"/>
        <w:numPr>
          <w:ilvl w:val="0"/>
          <w:numId w:val="4"/>
        </w:numPr>
        <w:rPr>
          <w:rFonts w:ascii="Times New Roman" w:hAnsi="Times New Roman"/>
          <w:sz w:val="24"/>
          <w:szCs w:val="24"/>
        </w:rPr>
      </w:pPr>
      <w:r w:rsidRPr="00C46072">
        <w:rPr>
          <w:rFonts w:ascii="Times New Roman" w:hAnsi="Times New Roman"/>
          <w:sz w:val="24"/>
          <w:szCs w:val="24"/>
        </w:rPr>
        <w:t xml:space="preserve">Offre de Manifestation d’intérêt pour </w:t>
      </w:r>
      <w:r w:rsidR="00115931" w:rsidRPr="00C55805">
        <w:rPr>
          <w:rFonts w:ascii="Times New Roman" w:hAnsi="Times New Roman"/>
          <w:sz w:val="24"/>
          <w:szCs w:val="24"/>
        </w:rPr>
        <w:t>« </w:t>
      </w:r>
      <w:r w:rsidR="008B14D0" w:rsidRPr="00697D03">
        <w:rPr>
          <w:rFonts w:ascii="Times New Roman" w:hAnsi="Times New Roman"/>
          <w:b/>
          <w:bCs/>
        </w:rPr>
        <w:t xml:space="preserve">Recrutement d'un </w:t>
      </w:r>
      <w:r w:rsidR="008B14D0">
        <w:rPr>
          <w:rFonts w:ascii="Times New Roman" w:hAnsi="Times New Roman"/>
          <w:b/>
          <w:bCs/>
        </w:rPr>
        <w:t>Consultant</w:t>
      </w:r>
      <w:r w:rsidR="008B14D0" w:rsidRPr="00697D03">
        <w:rPr>
          <w:rFonts w:ascii="Times New Roman" w:hAnsi="Times New Roman"/>
          <w:b/>
          <w:bCs/>
        </w:rPr>
        <w:t xml:space="preserve"> pour la réalisation des études techniques </w:t>
      </w:r>
      <w:r w:rsidR="008B14D0">
        <w:rPr>
          <w:rFonts w:ascii="Times New Roman" w:hAnsi="Times New Roman"/>
          <w:b/>
          <w:bCs/>
        </w:rPr>
        <w:t>des T</w:t>
      </w:r>
      <w:r w:rsidR="008B14D0" w:rsidRPr="00CB60F4">
        <w:rPr>
          <w:rFonts w:ascii="Times New Roman" w:eastAsia="Batang" w:hAnsi="Times New Roman"/>
          <w:b/>
          <w:bCs/>
          <w:sz w:val="24"/>
          <w:szCs w:val="24"/>
        </w:rPr>
        <w:t xml:space="preserve">ravaux d’aménagement de quatre (04) périmètres pastoraux y compris les études géophysiques d’implantation de quatre (04) forages et du contrôle et surveillance de l’ensemble des travaux d’aménagement et </w:t>
      </w:r>
      <w:r w:rsidR="00053397" w:rsidRPr="00CB60F4">
        <w:rPr>
          <w:rFonts w:ascii="Times New Roman" w:eastAsia="Batang" w:hAnsi="Times New Roman"/>
          <w:b/>
          <w:bCs/>
          <w:sz w:val="24"/>
          <w:szCs w:val="24"/>
        </w:rPr>
        <w:t>d’hydraulique</w:t>
      </w:r>
      <w:r w:rsidR="00053397" w:rsidRPr="00C46072">
        <w:rPr>
          <w:rFonts w:ascii="Times New Roman" w:hAnsi="Times New Roman"/>
          <w:sz w:val="24"/>
          <w:szCs w:val="24"/>
        </w:rPr>
        <w:t xml:space="preserve"> »</w:t>
      </w:r>
    </w:p>
    <w:p w14:paraId="3E8837E1" w14:textId="77777777" w:rsidR="007F7115" w:rsidRDefault="007F7115" w:rsidP="00C7495E">
      <w:pPr>
        <w:tabs>
          <w:tab w:val="left" w:pos="709"/>
        </w:tabs>
        <w:ind w:left="709"/>
        <w:jc w:val="both"/>
      </w:pPr>
    </w:p>
    <w:p w14:paraId="3E8837E2" w14:textId="3464AD42" w:rsidR="00C404D3" w:rsidRPr="00C404D3" w:rsidRDefault="00603BF4" w:rsidP="00D30C6D">
      <w:pPr>
        <w:tabs>
          <w:tab w:val="left" w:pos="540"/>
        </w:tabs>
        <w:jc w:val="both"/>
        <w:rPr>
          <w:b/>
        </w:rPr>
      </w:pPr>
      <w:r>
        <w:rPr>
          <w:sz w:val="22"/>
          <w:szCs w:val="22"/>
        </w:rPr>
        <w:t>9</w:t>
      </w:r>
      <w:r w:rsidR="00C404D3">
        <w:rPr>
          <w:sz w:val="22"/>
          <w:szCs w:val="22"/>
        </w:rPr>
        <w:t>.</w:t>
      </w:r>
      <w:r w:rsidR="00C404D3">
        <w:rPr>
          <w:sz w:val="22"/>
          <w:szCs w:val="22"/>
        </w:rPr>
        <w:tab/>
      </w:r>
      <w:r w:rsidR="00C404D3" w:rsidRPr="00FB448B">
        <w:t>L’adresse dont il est fait référence ci-dessus est :</w:t>
      </w:r>
    </w:p>
    <w:p w14:paraId="3E8837E3" w14:textId="77777777" w:rsidR="00C404D3" w:rsidRDefault="00C404D3" w:rsidP="00C404D3">
      <w:pPr>
        <w:tabs>
          <w:tab w:val="left" w:pos="540"/>
        </w:tabs>
        <w:jc w:val="both"/>
      </w:pPr>
    </w:p>
    <w:p w14:paraId="15E99828" w14:textId="77777777" w:rsidR="00CB1C38" w:rsidRDefault="00CB1C38" w:rsidP="00C404D3">
      <w:pPr>
        <w:widowControl w:val="0"/>
        <w:tabs>
          <w:tab w:val="right" w:pos="7254"/>
        </w:tabs>
        <w:autoSpaceDE w:val="0"/>
        <w:autoSpaceDN w:val="0"/>
        <w:adjustRightInd w:val="0"/>
        <w:ind w:left="567"/>
        <w:jc w:val="both"/>
      </w:pPr>
      <w:r w:rsidRPr="00C46072">
        <w:t xml:space="preserve">Projet </w:t>
      </w:r>
      <w:r>
        <w:t xml:space="preserve">Régional </w:t>
      </w:r>
      <w:r w:rsidRPr="00C46072">
        <w:t xml:space="preserve">d’Appui au </w:t>
      </w:r>
      <w:r>
        <w:t>Pastoralisme au Sahel</w:t>
      </w:r>
      <w:r w:rsidRPr="00C46072">
        <w:t xml:space="preserve"> au Mali</w:t>
      </w:r>
      <w:r>
        <w:t xml:space="preserve"> </w:t>
      </w:r>
    </w:p>
    <w:p w14:paraId="3E8837E5" w14:textId="3D7EEEF4" w:rsidR="00C404D3" w:rsidRPr="00E3629D" w:rsidRDefault="00132244" w:rsidP="00C404D3">
      <w:pPr>
        <w:widowControl w:val="0"/>
        <w:tabs>
          <w:tab w:val="right" w:pos="7254"/>
        </w:tabs>
        <w:autoSpaceDE w:val="0"/>
        <w:autoSpaceDN w:val="0"/>
        <w:adjustRightInd w:val="0"/>
        <w:ind w:left="567"/>
        <w:jc w:val="both"/>
      </w:pPr>
      <w:r>
        <w:t xml:space="preserve">Unité </w:t>
      </w:r>
      <w:r w:rsidR="00C404D3">
        <w:t>de Coordination du Projet</w:t>
      </w:r>
    </w:p>
    <w:p w14:paraId="3E8837E6" w14:textId="77777777" w:rsidR="00AC0984" w:rsidRDefault="00AC0984" w:rsidP="00C404D3">
      <w:pPr>
        <w:widowControl w:val="0"/>
        <w:tabs>
          <w:tab w:val="right" w:pos="7254"/>
        </w:tabs>
        <w:autoSpaceDE w:val="0"/>
        <w:autoSpaceDN w:val="0"/>
        <w:adjustRightInd w:val="0"/>
        <w:ind w:left="567"/>
        <w:jc w:val="both"/>
        <w:rPr>
          <w:bCs/>
        </w:rPr>
      </w:pPr>
      <w:r>
        <w:rPr>
          <w:bCs/>
        </w:rPr>
        <w:t>Avenue de la Liberté sur la route de Koulouba</w:t>
      </w:r>
    </w:p>
    <w:p w14:paraId="3E8837E7" w14:textId="4E7E5677" w:rsidR="00AC0984" w:rsidRDefault="00AC0984" w:rsidP="00C404D3">
      <w:pPr>
        <w:widowControl w:val="0"/>
        <w:tabs>
          <w:tab w:val="right" w:pos="7254"/>
        </w:tabs>
        <w:autoSpaceDE w:val="0"/>
        <w:autoSpaceDN w:val="0"/>
        <w:adjustRightInd w:val="0"/>
        <w:ind w:left="567"/>
        <w:jc w:val="both"/>
        <w:rPr>
          <w:bCs/>
        </w:rPr>
      </w:pPr>
      <w:r>
        <w:rPr>
          <w:bCs/>
        </w:rPr>
        <w:t xml:space="preserve">En Face du Stade </w:t>
      </w:r>
      <w:proofErr w:type="spellStart"/>
      <w:r w:rsidR="00892EF8">
        <w:rPr>
          <w:bCs/>
        </w:rPr>
        <w:t>Ouez</w:t>
      </w:r>
      <w:r>
        <w:rPr>
          <w:bCs/>
        </w:rPr>
        <w:t>zin</w:t>
      </w:r>
      <w:proofErr w:type="spellEnd"/>
      <w:r>
        <w:rPr>
          <w:bCs/>
        </w:rPr>
        <w:t>, contigu à l’IPR/IFRA Annexe</w:t>
      </w:r>
    </w:p>
    <w:p w14:paraId="3E8837E8" w14:textId="1783CB0E" w:rsidR="00132244" w:rsidRDefault="00CB1C38" w:rsidP="00C404D3">
      <w:pPr>
        <w:widowControl w:val="0"/>
        <w:tabs>
          <w:tab w:val="right" w:pos="7254"/>
        </w:tabs>
        <w:autoSpaceDE w:val="0"/>
        <w:autoSpaceDN w:val="0"/>
        <w:adjustRightInd w:val="0"/>
        <w:ind w:left="567"/>
        <w:jc w:val="both"/>
        <w:rPr>
          <w:bCs/>
        </w:rPr>
      </w:pPr>
      <w:r>
        <w:rPr>
          <w:bCs/>
        </w:rPr>
        <w:lastRenderedPageBreak/>
        <w:t xml:space="preserve">Tél. </w:t>
      </w:r>
      <w:r w:rsidR="00D86933">
        <w:rPr>
          <w:bCs/>
        </w:rPr>
        <w:t>76 18 11 42/74 41 93 04</w:t>
      </w:r>
      <w:r>
        <w:rPr>
          <w:bCs/>
        </w:rPr>
        <w:t>/66 75 80 51</w:t>
      </w:r>
    </w:p>
    <w:p w14:paraId="1EED64ED" w14:textId="57F601BE" w:rsidR="00786B93" w:rsidRDefault="00786B93" w:rsidP="00C404D3">
      <w:pPr>
        <w:widowControl w:val="0"/>
        <w:tabs>
          <w:tab w:val="right" w:pos="7254"/>
        </w:tabs>
        <w:autoSpaceDE w:val="0"/>
        <w:autoSpaceDN w:val="0"/>
        <w:adjustRightInd w:val="0"/>
        <w:ind w:left="567"/>
        <w:jc w:val="both"/>
        <w:rPr>
          <w:bCs/>
        </w:rPr>
      </w:pPr>
      <w:r>
        <w:rPr>
          <w:bCs/>
        </w:rPr>
        <w:t xml:space="preserve">Email : </w:t>
      </w:r>
      <w:hyperlink r:id="rId7" w:history="1">
        <w:r w:rsidR="00EF034F" w:rsidRPr="00403752">
          <w:rPr>
            <w:rStyle w:val="Lienhypertexte"/>
            <w:bCs/>
          </w:rPr>
          <w:t>fatoumata.bocoum@prapsmali.ml</w:t>
        </w:r>
      </w:hyperlink>
      <w:r w:rsidR="00EF034F">
        <w:rPr>
          <w:bCs/>
        </w:rPr>
        <w:t xml:space="preserve"> </w:t>
      </w:r>
      <w:r>
        <w:rPr>
          <w:bCs/>
        </w:rPr>
        <w:t xml:space="preserve"> avec copie à  </w:t>
      </w:r>
      <w:hyperlink r:id="rId8" w:history="1">
        <w:r w:rsidR="00EF034F" w:rsidRPr="00403752">
          <w:rPr>
            <w:rStyle w:val="Lienhypertexte"/>
            <w:bCs/>
          </w:rPr>
          <w:t>dbakary57@yahoo.fr</w:t>
        </w:r>
      </w:hyperlink>
      <w:r w:rsidR="00EF034F">
        <w:rPr>
          <w:bCs/>
        </w:rPr>
        <w:t xml:space="preserve"> </w:t>
      </w:r>
    </w:p>
    <w:p w14:paraId="3E8837E9" w14:textId="77777777" w:rsidR="00B91524" w:rsidRPr="00584E67" w:rsidRDefault="003A7703" w:rsidP="003A7703">
      <w:pPr>
        <w:widowControl w:val="0"/>
        <w:tabs>
          <w:tab w:val="right" w:pos="7254"/>
        </w:tabs>
        <w:autoSpaceDE w:val="0"/>
        <w:autoSpaceDN w:val="0"/>
        <w:adjustRightInd w:val="0"/>
        <w:ind w:left="567"/>
        <w:jc w:val="both"/>
      </w:pPr>
      <w:r>
        <w:t>Bamako, République du Mali</w:t>
      </w:r>
      <w:r w:rsidR="002C2405">
        <w:tab/>
      </w:r>
      <w:r w:rsidR="002C2405">
        <w:tab/>
      </w:r>
      <w:r w:rsidR="002C2405">
        <w:tab/>
      </w:r>
    </w:p>
    <w:sectPr w:rsidR="00B91524" w:rsidRPr="00584E67" w:rsidSect="00C14C89">
      <w:footerReference w:type="default" r:id="rId9"/>
      <w:pgSz w:w="11906" w:h="16838"/>
      <w:pgMar w:top="709" w:right="707" w:bottom="719"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4DEE1" w14:textId="77777777" w:rsidR="00C14C89" w:rsidRDefault="00C14C89">
      <w:r>
        <w:separator/>
      </w:r>
    </w:p>
  </w:endnote>
  <w:endnote w:type="continuationSeparator" w:id="0">
    <w:p w14:paraId="2729B80E" w14:textId="77777777" w:rsidR="00C14C89" w:rsidRDefault="00C1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37EE" w14:textId="77777777" w:rsidR="00EA29B3" w:rsidRDefault="00EA29B3" w:rsidP="00173C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DDDD3" w14:textId="77777777" w:rsidR="00C14C89" w:rsidRDefault="00C14C89">
      <w:r>
        <w:separator/>
      </w:r>
    </w:p>
  </w:footnote>
  <w:footnote w:type="continuationSeparator" w:id="0">
    <w:p w14:paraId="6732CA4B" w14:textId="77777777" w:rsidR="00C14C89" w:rsidRDefault="00C14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79F"/>
    <w:multiLevelType w:val="hybridMultilevel"/>
    <w:tmpl w:val="0A942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46E1D"/>
    <w:multiLevelType w:val="multilevel"/>
    <w:tmpl w:val="47561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D067B"/>
    <w:multiLevelType w:val="hybridMultilevel"/>
    <w:tmpl w:val="9A8ED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036F1"/>
    <w:multiLevelType w:val="hybridMultilevel"/>
    <w:tmpl w:val="0FA8169A"/>
    <w:lvl w:ilvl="0" w:tplc="CAEAF5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60F4A"/>
    <w:multiLevelType w:val="hybridMultilevel"/>
    <w:tmpl w:val="9B245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5C6E65"/>
    <w:multiLevelType w:val="hybridMultilevel"/>
    <w:tmpl w:val="3244CE8E"/>
    <w:lvl w:ilvl="0" w:tplc="040C0005">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6" w15:restartNumberingAfterBreak="0">
    <w:nsid w:val="170E393D"/>
    <w:multiLevelType w:val="multilevel"/>
    <w:tmpl w:val="3BF6A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9453E"/>
    <w:multiLevelType w:val="hybridMultilevel"/>
    <w:tmpl w:val="38CA2A9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EF5460"/>
    <w:multiLevelType w:val="hybridMultilevel"/>
    <w:tmpl w:val="DF8C910E"/>
    <w:lvl w:ilvl="0" w:tplc="5658E72C">
      <w:start w:val="1"/>
      <w:numFmt w:val="lowerLetter"/>
      <w:lvlText w:val="%1)"/>
      <w:lvlJc w:val="left"/>
      <w:pPr>
        <w:ind w:left="720" w:hanging="360"/>
      </w:pPr>
      <w:rPr>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911E0D"/>
    <w:multiLevelType w:val="hybridMultilevel"/>
    <w:tmpl w:val="29D89056"/>
    <w:lvl w:ilvl="0" w:tplc="04090001">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10" w15:restartNumberingAfterBreak="0">
    <w:nsid w:val="26787E93"/>
    <w:multiLevelType w:val="hybridMultilevel"/>
    <w:tmpl w:val="5114BB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2B6600"/>
    <w:multiLevelType w:val="hybridMultilevel"/>
    <w:tmpl w:val="CDDE38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7914AE"/>
    <w:multiLevelType w:val="hybridMultilevel"/>
    <w:tmpl w:val="12E41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8F0735"/>
    <w:multiLevelType w:val="hybridMultilevel"/>
    <w:tmpl w:val="8FA6372A"/>
    <w:lvl w:ilvl="0" w:tplc="9C56F7D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C5C21"/>
    <w:multiLevelType w:val="hybridMultilevel"/>
    <w:tmpl w:val="66567A7E"/>
    <w:lvl w:ilvl="0" w:tplc="040C0005">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1861FA"/>
    <w:multiLevelType w:val="hybridMultilevel"/>
    <w:tmpl w:val="36665EFC"/>
    <w:lvl w:ilvl="0" w:tplc="4808AE1E">
      <w:numFmt w:val="bullet"/>
      <w:lvlText w:val="-"/>
      <w:lvlJc w:val="left"/>
      <w:pPr>
        <w:ind w:left="20" w:hanging="360"/>
      </w:pPr>
      <w:rPr>
        <w:rFonts w:ascii="Times New Roman" w:eastAsiaTheme="minorHAnsi" w:hAnsi="Times New Roman" w:cs="Times New Roman" w:hint="default"/>
        <w:b/>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16" w15:restartNumberingAfterBreak="0">
    <w:nsid w:val="336E52A0"/>
    <w:multiLevelType w:val="hybridMultilevel"/>
    <w:tmpl w:val="1F10F29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34C821B5"/>
    <w:multiLevelType w:val="hybridMultilevel"/>
    <w:tmpl w:val="CB2CF8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969A7"/>
    <w:multiLevelType w:val="hybridMultilevel"/>
    <w:tmpl w:val="E1341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F44E87"/>
    <w:multiLevelType w:val="hybridMultilevel"/>
    <w:tmpl w:val="BA585E10"/>
    <w:lvl w:ilvl="0" w:tplc="2FF6595E">
      <w:start w:val="5"/>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A676F4"/>
    <w:multiLevelType w:val="hybridMultilevel"/>
    <w:tmpl w:val="8A7055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A4369"/>
    <w:multiLevelType w:val="hybridMultilevel"/>
    <w:tmpl w:val="B9326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A05103"/>
    <w:multiLevelType w:val="hybridMultilevel"/>
    <w:tmpl w:val="2F0086A0"/>
    <w:lvl w:ilvl="0" w:tplc="E706832A">
      <w:numFmt w:val="bullet"/>
      <w:lvlText w:val="-"/>
      <w:lvlJc w:val="left"/>
      <w:pPr>
        <w:ind w:left="1080" w:hanging="360"/>
      </w:pPr>
      <w:rPr>
        <w:rFonts w:ascii="Arial" w:eastAsiaTheme="minorEastAsia"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3C2B0801"/>
    <w:multiLevelType w:val="hybridMultilevel"/>
    <w:tmpl w:val="6AA234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3C5B3AE8"/>
    <w:multiLevelType w:val="hybridMultilevel"/>
    <w:tmpl w:val="384E57E0"/>
    <w:lvl w:ilvl="0" w:tplc="A176D022">
      <w:start w:val="2"/>
      <w:numFmt w:val="bullet"/>
      <w:lvlText w:val=""/>
      <w:lvlJc w:val="left"/>
      <w:pPr>
        <w:ind w:left="810" w:hanging="360"/>
      </w:pPr>
      <w:rPr>
        <w:rFonts w:ascii="Symbol" w:eastAsia="Times New Roman" w:hAnsi="Symbol"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5" w15:restartNumberingAfterBreak="0">
    <w:nsid w:val="3DD606AF"/>
    <w:multiLevelType w:val="hybridMultilevel"/>
    <w:tmpl w:val="4FD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FF248B"/>
    <w:multiLevelType w:val="hybridMultilevel"/>
    <w:tmpl w:val="2C52B450"/>
    <w:lvl w:ilvl="0" w:tplc="040C0017">
      <w:start w:val="1"/>
      <w:numFmt w:val="lowerLetter"/>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40193B6D"/>
    <w:multiLevelType w:val="hybridMultilevel"/>
    <w:tmpl w:val="E5360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423E3F"/>
    <w:multiLevelType w:val="multilevel"/>
    <w:tmpl w:val="63449BCC"/>
    <w:lvl w:ilvl="0">
      <w:start w:val="1"/>
      <w:numFmt w:val="upperRoman"/>
      <w:lvlText w:val="%1."/>
      <w:lvlJc w:val="right"/>
      <w:pPr>
        <w:ind w:left="720" w:hanging="360"/>
      </w:pPr>
      <w:rPr>
        <w:rFonts w:ascii="Maiandra GD" w:hAnsi="Maiandra GD" w:hint="default"/>
        <w:b/>
        <w:bCs/>
        <w:u w:val="none"/>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9" w15:restartNumberingAfterBreak="0">
    <w:nsid w:val="43D46990"/>
    <w:multiLevelType w:val="hybridMultilevel"/>
    <w:tmpl w:val="F2B6D03C"/>
    <w:name w:val="WW8Num142"/>
    <w:lvl w:ilvl="0" w:tplc="B816ADF4">
      <w:start w:val="1"/>
      <w:numFmt w:val="bullet"/>
      <w:lvlText w:val="-"/>
      <w:lvlJc w:val="left"/>
      <w:pPr>
        <w:ind w:left="360" w:hanging="360"/>
      </w:pPr>
      <w:rPr>
        <w:rFonts w:ascii="Cambria" w:eastAsia="MS Mincho" w:hAnsi="Cambri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41D4F0A"/>
    <w:multiLevelType w:val="hybridMultilevel"/>
    <w:tmpl w:val="D7F22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A4B6F5D"/>
    <w:multiLevelType w:val="hybridMultilevel"/>
    <w:tmpl w:val="272620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A5A29B3"/>
    <w:multiLevelType w:val="hybridMultilevel"/>
    <w:tmpl w:val="074090B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500A61EC"/>
    <w:multiLevelType w:val="hybridMultilevel"/>
    <w:tmpl w:val="DA0ECA4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CC1789"/>
    <w:multiLevelType w:val="hybridMultilevel"/>
    <w:tmpl w:val="20FCAACC"/>
    <w:lvl w:ilvl="0" w:tplc="E00A8A38">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EB6BD6"/>
    <w:multiLevelType w:val="hybridMultilevel"/>
    <w:tmpl w:val="596631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3E7F2C"/>
    <w:multiLevelType w:val="hybridMultilevel"/>
    <w:tmpl w:val="415E2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D81B41"/>
    <w:multiLevelType w:val="hybridMultilevel"/>
    <w:tmpl w:val="D350216A"/>
    <w:lvl w:ilvl="0" w:tplc="CB643A74">
      <w:start w:val="1"/>
      <w:numFmt w:val="bullet"/>
      <w:lvlText w:val=""/>
      <w:lvlJc w:val="left"/>
      <w:pPr>
        <w:tabs>
          <w:tab w:val="num" w:pos="1070"/>
        </w:tabs>
        <w:ind w:left="1070" w:hanging="360"/>
      </w:pPr>
      <w:rPr>
        <w:rFonts w:ascii="Wingdings" w:hAnsi="Wingdings" w:hint="default"/>
      </w:rPr>
    </w:lvl>
    <w:lvl w:ilvl="1" w:tplc="040C0003" w:tentative="1">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39" w15:restartNumberingAfterBreak="0">
    <w:nsid w:val="6CBD57B1"/>
    <w:multiLevelType w:val="hybridMultilevel"/>
    <w:tmpl w:val="E15E518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3E3178B"/>
    <w:multiLevelType w:val="hybridMultilevel"/>
    <w:tmpl w:val="DD5810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1A6647"/>
    <w:multiLevelType w:val="hybridMultilevel"/>
    <w:tmpl w:val="14182D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1D0FEE"/>
    <w:multiLevelType w:val="hybridMultilevel"/>
    <w:tmpl w:val="A2CE2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A2F39BA"/>
    <w:multiLevelType w:val="hybridMultilevel"/>
    <w:tmpl w:val="4B50BBC8"/>
    <w:lvl w:ilvl="0" w:tplc="8D4AB19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A844EE"/>
    <w:multiLevelType w:val="hybridMultilevel"/>
    <w:tmpl w:val="95A093A6"/>
    <w:lvl w:ilvl="0" w:tplc="BA12BCC0">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BBC3035"/>
    <w:multiLevelType w:val="hybridMultilevel"/>
    <w:tmpl w:val="448AC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C436E75"/>
    <w:multiLevelType w:val="multilevel"/>
    <w:tmpl w:val="7626F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3779F6"/>
    <w:multiLevelType w:val="hybridMultilevel"/>
    <w:tmpl w:val="67129942"/>
    <w:lvl w:ilvl="0" w:tplc="02A48FCC">
      <w:start w:val="1"/>
      <w:numFmt w:val="lowerLetter"/>
      <w:lvlText w:val="%1)"/>
      <w:lvlJc w:val="left"/>
      <w:pPr>
        <w:ind w:left="150" w:hanging="360"/>
      </w:pPr>
    </w:lvl>
    <w:lvl w:ilvl="1" w:tplc="1CCCFFA0" w:tentative="1">
      <w:start w:val="1"/>
      <w:numFmt w:val="lowerLetter"/>
      <w:lvlText w:val="%2."/>
      <w:lvlJc w:val="left"/>
      <w:pPr>
        <w:ind w:left="870" w:hanging="360"/>
      </w:pPr>
    </w:lvl>
    <w:lvl w:ilvl="2" w:tplc="3C32C8F0" w:tentative="1">
      <w:start w:val="1"/>
      <w:numFmt w:val="lowerRoman"/>
      <w:lvlText w:val="%3."/>
      <w:lvlJc w:val="right"/>
      <w:pPr>
        <w:ind w:left="1590" w:hanging="180"/>
      </w:pPr>
    </w:lvl>
    <w:lvl w:ilvl="3" w:tplc="22685940" w:tentative="1">
      <w:start w:val="1"/>
      <w:numFmt w:val="decimal"/>
      <w:lvlText w:val="%4."/>
      <w:lvlJc w:val="left"/>
      <w:pPr>
        <w:ind w:left="2310" w:hanging="360"/>
      </w:pPr>
    </w:lvl>
    <w:lvl w:ilvl="4" w:tplc="5E623936" w:tentative="1">
      <w:start w:val="1"/>
      <w:numFmt w:val="lowerLetter"/>
      <w:lvlText w:val="%5."/>
      <w:lvlJc w:val="left"/>
      <w:pPr>
        <w:ind w:left="3030" w:hanging="360"/>
      </w:pPr>
    </w:lvl>
    <w:lvl w:ilvl="5" w:tplc="22A447E4" w:tentative="1">
      <w:start w:val="1"/>
      <w:numFmt w:val="lowerRoman"/>
      <w:lvlText w:val="%6."/>
      <w:lvlJc w:val="right"/>
      <w:pPr>
        <w:ind w:left="3750" w:hanging="180"/>
      </w:pPr>
    </w:lvl>
    <w:lvl w:ilvl="6" w:tplc="52C6F8CC" w:tentative="1">
      <w:start w:val="1"/>
      <w:numFmt w:val="decimal"/>
      <w:lvlText w:val="%7."/>
      <w:lvlJc w:val="left"/>
      <w:pPr>
        <w:ind w:left="4470" w:hanging="360"/>
      </w:pPr>
    </w:lvl>
    <w:lvl w:ilvl="7" w:tplc="35882A18" w:tentative="1">
      <w:start w:val="1"/>
      <w:numFmt w:val="lowerLetter"/>
      <w:lvlText w:val="%8."/>
      <w:lvlJc w:val="left"/>
      <w:pPr>
        <w:ind w:left="5190" w:hanging="360"/>
      </w:pPr>
    </w:lvl>
    <w:lvl w:ilvl="8" w:tplc="4ED25C88" w:tentative="1">
      <w:start w:val="1"/>
      <w:numFmt w:val="lowerRoman"/>
      <w:lvlText w:val="%9."/>
      <w:lvlJc w:val="right"/>
      <w:pPr>
        <w:ind w:left="5910" w:hanging="180"/>
      </w:pPr>
    </w:lvl>
  </w:abstractNum>
  <w:abstractNum w:abstractNumId="48" w15:restartNumberingAfterBreak="0">
    <w:nsid w:val="7EE72564"/>
    <w:multiLevelType w:val="hybridMultilevel"/>
    <w:tmpl w:val="2E76A9D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764960418">
    <w:abstractNumId w:val="17"/>
  </w:num>
  <w:num w:numId="2" w16cid:durableId="1776825487">
    <w:abstractNumId w:val="20"/>
  </w:num>
  <w:num w:numId="3" w16cid:durableId="1218056420">
    <w:abstractNumId w:val="41"/>
  </w:num>
  <w:num w:numId="4" w16cid:durableId="1981031339">
    <w:abstractNumId w:val="7"/>
  </w:num>
  <w:num w:numId="5" w16cid:durableId="1177889135">
    <w:abstractNumId w:val="12"/>
  </w:num>
  <w:num w:numId="6" w16cid:durableId="1493908391">
    <w:abstractNumId w:val="13"/>
  </w:num>
  <w:num w:numId="7" w16cid:durableId="384523659">
    <w:abstractNumId w:val="35"/>
  </w:num>
  <w:num w:numId="8" w16cid:durableId="852188357">
    <w:abstractNumId w:val="30"/>
  </w:num>
  <w:num w:numId="9" w16cid:durableId="536894194">
    <w:abstractNumId w:val="26"/>
  </w:num>
  <w:num w:numId="10" w16cid:durableId="1200238041">
    <w:abstractNumId w:val="27"/>
  </w:num>
  <w:num w:numId="11" w16cid:durableId="283119897">
    <w:abstractNumId w:val="43"/>
  </w:num>
  <w:num w:numId="12" w16cid:durableId="1543908328">
    <w:abstractNumId w:val="42"/>
  </w:num>
  <w:num w:numId="13" w16cid:durableId="221409590">
    <w:abstractNumId w:val="32"/>
  </w:num>
  <w:num w:numId="14" w16cid:durableId="1193881665">
    <w:abstractNumId w:val="39"/>
  </w:num>
  <w:num w:numId="15" w16cid:durableId="1646080574">
    <w:abstractNumId w:val="16"/>
  </w:num>
  <w:num w:numId="16" w16cid:durableId="1358311695">
    <w:abstractNumId w:val="24"/>
  </w:num>
  <w:num w:numId="17" w16cid:durableId="1655598144">
    <w:abstractNumId w:val="4"/>
  </w:num>
  <w:num w:numId="18" w16cid:durableId="1522207497">
    <w:abstractNumId w:val="23"/>
  </w:num>
  <w:num w:numId="19" w16cid:durableId="1753815417">
    <w:abstractNumId w:val="48"/>
  </w:num>
  <w:num w:numId="20" w16cid:durableId="1629358279">
    <w:abstractNumId w:val="6"/>
  </w:num>
  <w:num w:numId="21" w16cid:durableId="1506627244">
    <w:abstractNumId w:val="31"/>
  </w:num>
  <w:num w:numId="22" w16cid:durableId="120465751">
    <w:abstractNumId w:val="1"/>
  </w:num>
  <w:num w:numId="23" w16cid:durableId="1736076806">
    <w:abstractNumId w:val="14"/>
  </w:num>
  <w:num w:numId="24" w16cid:durableId="192961723">
    <w:abstractNumId w:val="34"/>
  </w:num>
  <w:num w:numId="25" w16cid:durableId="1947274095">
    <w:abstractNumId w:val="11"/>
  </w:num>
  <w:num w:numId="26" w16cid:durableId="1091123070">
    <w:abstractNumId w:val="9"/>
  </w:num>
  <w:num w:numId="27" w16cid:durableId="1970669102">
    <w:abstractNumId w:val="33"/>
  </w:num>
  <w:num w:numId="28" w16cid:durableId="2004964613">
    <w:abstractNumId w:val="37"/>
  </w:num>
  <w:num w:numId="29" w16cid:durableId="1174613184">
    <w:abstractNumId w:val="47"/>
  </w:num>
  <w:num w:numId="30" w16cid:durableId="1794472845">
    <w:abstractNumId w:val="15"/>
  </w:num>
  <w:num w:numId="31" w16cid:durableId="315843648">
    <w:abstractNumId w:val="25"/>
  </w:num>
  <w:num w:numId="32" w16cid:durableId="648903650">
    <w:abstractNumId w:val="3"/>
  </w:num>
  <w:num w:numId="33" w16cid:durableId="554589259">
    <w:abstractNumId w:val="2"/>
  </w:num>
  <w:num w:numId="34" w16cid:durableId="933830499">
    <w:abstractNumId w:val="45"/>
  </w:num>
  <w:num w:numId="35" w16cid:durableId="14814590">
    <w:abstractNumId w:val="38"/>
  </w:num>
  <w:num w:numId="36" w16cid:durableId="672151686">
    <w:abstractNumId w:val="29"/>
  </w:num>
  <w:num w:numId="37" w16cid:durableId="1858345212">
    <w:abstractNumId w:val="44"/>
  </w:num>
  <w:num w:numId="38" w16cid:durableId="1091967895">
    <w:abstractNumId w:val="0"/>
  </w:num>
  <w:num w:numId="39" w16cid:durableId="1694771122">
    <w:abstractNumId w:val="36"/>
  </w:num>
  <w:num w:numId="40" w16cid:durableId="1530873087">
    <w:abstractNumId w:val="40"/>
  </w:num>
  <w:num w:numId="41" w16cid:durableId="1101491242">
    <w:abstractNumId w:val="18"/>
  </w:num>
  <w:num w:numId="42" w16cid:durableId="176966770">
    <w:abstractNumId w:val="21"/>
  </w:num>
  <w:num w:numId="43" w16cid:durableId="2012246377">
    <w:abstractNumId w:val="19"/>
  </w:num>
  <w:num w:numId="44" w16cid:durableId="630865728">
    <w:abstractNumId w:val="10"/>
  </w:num>
  <w:num w:numId="45" w16cid:durableId="1343318557">
    <w:abstractNumId w:val="22"/>
  </w:num>
  <w:num w:numId="46" w16cid:durableId="1785534026">
    <w:abstractNumId w:val="5"/>
  </w:num>
  <w:num w:numId="47" w16cid:durableId="309217922">
    <w:abstractNumId w:val="28"/>
  </w:num>
  <w:num w:numId="48" w16cid:durableId="1225338328">
    <w:abstractNumId w:val="8"/>
  </w:num>
  <w:num w:numId="49" w16cid:durableId="209685290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8A"/>
    <w:rsid w:val="00007AC3"/>
    <w:rsid w:val="0001544B"/>
    <w:rsid w:val="000161F6"/>
    <w:rsid w:val="00020279"/>
    <w:rsid w:val="00023CD9"/>
    <w:rsid w:val="000247F5"/>
    <w:rsid w:val="00040981"/>
    <w:rsid w:val="00041831"/>
    <w:rsid w:val="000425D3"/>
    <w:rsid w:val="00053397"/>
    <w:rsid w:val="00062E19"/>
    <w:rsid w:val="000830CD"/>
    <w:rsid w:val="00087312"/>
    <w:rsid w:val="000975B1"/>
    <w:rsid w:val="000A6232"/>
    <w:rsid w:val="000A78CA"/>
    <w:rsid w:val="000C3729"/>
    <w:rsid w:val="000C7FE5"/>
    <w:rsid w:val="000E7B3B"/>
    <w:rsid w:val="00112D9C"/>
    <w:rsid w:val="00115931"/>
    <w:rsid w:val="001230A5"/>
    <w:rsid w:val="001245D6"/>
    <w:rsid w:val="00131B8F"/>
    <w:rsid w:val="00132244"/>
    <w:rsid w:val="00142C2B"/>
    <w:rsid w:val="001435F3"/>
    <w:rsid w:val="00144ACF"/>
    <w:rsid w:val="00152393"/>
    <w:rsid w:val="00157C7E"/>
    <w:rsid w:val="00163ACA"/>
    <w:rsid w:val="00167EFC"/>
    <w:rsid w:val="00173CC2"/>
    <w:rsid w:val="00183398"/>
    <w:rsid w:val="00185A6C"/>
    <w:rsid w:val="00192E39"/>
    <w:rsid w:val="001A4BB2"/>
    <w:rsid w:val="001B35C1"/>
    <w:rsid w:val="001B7BAF"/>
    <w:rsid w:val="001C1900"/>
    <w:rsid w:val="001C4E02"/>
    <w:rsid w:val="001D3EE1"/>
    <w:rsid w:val="001E0292"/>
    <w:rsid w:val="001E1489"/>
    <w:rsid w:val="001E631B"/>
    <w:rsid w:val="001F5D53"/>
    <w:rsid w:val="0020203B"/>
    <w:rsid w:val="002169A9"/>
    <w:rsid w:val="00223E9F"/>
    <w:rsid w:val="00233274"/>
    <w:rsid w:val="00264CD6"/>
    <w:rsid w:val="00270BA4"/>
    <w:rsid w:val="00272788"/>
    <w:rsid w:val="002733A2"/>
    <w:rsid w:val="0028291E"/>
    <w:rsid w:val="002877A9"/>
    <w:rsid w:val="002938CA"/>
    <w:rsid w:val="002A3136"/>
    <w:rsid w:val="002A668B"/>
    <w:rsid w:val="002A7D9D"/>
    <w:rsid w:val="002C2405"/>
    <w:rsid w:val="002C308B"/>
    <w:rsid w:val="002D1929"/>
    <w:rsid w:val="002D3FF9"/>
    <w:rsid w:val="002E4E89"/>
    <w:rsid w:val="003055AB"/>
    <w:rsid w:val="0031183A"/>
    <w:rsid w:val="003317BD"/>
    <w:rsid w:val="00332B59"/>
    <w:rsid w:val="00343C6E"/>
    <w:rsid w:val="003517E7"/>
    <w:rsid w:val="00355E8E"/>
    <w:rsid w:val="003645DC"/>
    <w:rsid w:val="003650F1"/>
    <w:rsid w:val="00386927"/>
    <w:rsid w:val="00396836"/>
    <w:rsid w:val="003A44C5"/>
    <w:rsid w:val="003A7703"/>
    <w:rsid w:val="003B43E9"/>
    <w:rsid w:val="003B4F69"/>
    <w:rsid w:val="003C1DEB"/>
    <w:rsid w:val="00405EE1"/>
    <w:rsid w:val="00411465"/>
    <w:rsid w:val="00413ED1"/>
    <w:rsid w:val="00433EED"/>
    <w:rsid w:val="00434EDE"/>
    <w:rsid w:val="00440A3A"/>
    <w:rsid w:val="00456B0F"/>
    <w:rsid w:val="0045701F"/>
    <w:rsid w:val="004641EE"/>
    <w:rsid w:val="00474B71"/>
    <w:rsid w:val="00482119"/>
    <w:rsid w:val="0048417E"/>
    <w:rsid w:val="00485BC4"/>
    <w:rsid w:val="00486988"/>
    <w:rsid w:val="004962ED"/>
    <w:rsid w:val="004A3A7D"/>
    <w:rsid w:val="004A4E63"/>
    <w:rsid w:val="004B16CA"/>
    <w:rsid w:val="004B2159"/>
    <w:rsid w:val="004B27EF"/>
    <w:rsid w:val="004C04A3"/>
    <w:rsid w:val="004C09F6"/>
    <w:rsid w:val="004C1FC7"/>
    <w:rsid w:val="004D460A"/>
    <w:rsid w:val="004E494C"/>
    <w:rsid w:val="004E713B"/>
    <w:rsid w:val="00502BD9"/>
    <w:rsid w:val="005105F2"/>
    <w:rsid w:val="00527775"/>
    <w:rsid w:val="00530D08"/>
    <w:rsid w:val="00562F97"/>
    <w:rsid w:val="00563A66"/>
    <w:rsid w:val="00565827"/>
    <w:rsid w:val="00570119"/>
    <w:rsid w:val="00573CC5"/>
    <w:rsid w:val="00574F9B"/>
    <w:rsid w:val="00580767"/>
    <w:rsid w:val="00584E67"/>
    <w:rsid w:val="00585236"/>
    <w:rsid w:val="005861CA"/>
    <w:rsid w:val="005958F7"/>
    <w:rsid w:val="00596D28"/>
    <w:rsid w:val="005A6FDD"/>
    <w:rsid w:val="005B1583"/>
    <w:rsid w:val="005B7DC0"/>
    <w:rsid w:val="005D269B"/>
    <w:rsid w:val="005D6A77"/>
    <w:rsid w:val="005E436C"/>
    <w:rsid w:val="005E5F9D"/>
    <w:rsid w:val="005F7F60"/>
    <w:rsid w:val="00601FE9"/>
    <w:rsid w:val="00603BF4"/>
    <w:rsid w:val="00603D07"/>
    <w:rsid w:val="00623342"/>
    <w:rsid w:val="00624AE5"/>
    <w:rsid w:val="006257EF"/>
    <w:rsid w:val="006424EB"/>
    <w:rsid w:val="00650B67"/>
    <w:rsid w:val="00651C9E"/>
    <w:rsid w:val="00663C4A"/>
    <w:rsid w:val="00667220"/>
    <w:rsid w:val="00670B3D"/>
    <w:rsid w:val="00670F44"/>
    <w:rsid w:val="006824E1"/>
    <w:rsid w:val="00686CF8"/>
    <w:rsid w:val="00695476"/>
    <w:rsid w:val="00695875"/>
    <w:rsid w:val="0069605E"/>
    <w:rsid w:val="006972C5"/>
    <w:rsid w:val="00697D03"/>
    <w:rsid w:val="006A107C"/>
    <w:rsid w:val="006A4201"/>
    <w:rsid w:val="006A6AFD"/>
    <w:rsid w:val="006C004B"/>
    <w:rsid w:val="006C2341"/>
    <w:rsid w:val="006C4A0D"/>
    <w:rsid w:val="006D256E"/>
    <w:rsid w:val="006D2CF5"/>
    <w:rsid w:val="006D39E8"/>
    <w:rsid w:val="006D75F3"/>
    <w:rsid w:val="006E1357"/>
    <w:rsid w:val="006F6B45"/>
    <w:rsid w:val="00704190"/>
    <w:rsid w:val="0070548B"/>
    <w:rsid w:val="00706DBF"/>
    <w:rsid w:val="00711542"/>
    <w:rsid w:val="00711815"/>
    <w:rsid w:val="007122B4"/>
    <w:rsid w:val="00712B81"/>
    <w:rsid w:val="00714066"/>
    <w:rsid w:val="007211CE"/>
    <w:rsid w:val="00723231"/>
    <w:rsid w:val="00732B93"/>
    <w:rsid w:val="00732DD7"/>
    <w:rsid w:val="0073472E"/>
    <w:rsid w:val="00740C00"/>
    <w:rsid w:val="00744F1C"/>
    <w:rsid w:val="00757F2D"/>
    <w:rsid w:val="00765860"/>
    <w:rsid w:val="00766BE1"/>
    <w:rsid w:val="00777071"/>
    <w:rsid w:val="0078258E"/>
    <w:rsid w:val="00782754"/>
    <w:rsid w:val="0078480D"/>
    <w:rsid w:val="00784E0F"/>
    <w:rsid w:val="00786B93"/>
    <w:rsid w:val="007A230B"/>
    <w:rsid w:val="007B6CC6"/>
    <w:rsid w:val="007C3606"/>
    <w:rsid w:val="007D166C"/>
    <w:rsid w:val="007E004F"/>
    <w:rsid w:val="007E09F3"/>
    <w:rsid w:val="007F1E4E"/>
    <w:rsid w:val="007F7115"/>
    <w:rsid w:val="00804D28"/>
    <w:rsid w:val="00807101"/>
    <w:rsid w:val="00820199"/>
    <w:rsid w:val="008447B6"/>
    <w:rsid w:val="00846E99"/>
    <w:rsid w:val="008508CE"/>
    <w:rsid w:val="00855050"/>
    <w:rsid w:val="0086125E"/>
    <w:rsid w:val="00861535"/>
    <w:rsid w:val="008619B7"/>
    <w:rsid w:val="0086659E"/>
    <w:rsid w:val="00874F85"/>
    <w:rsid w:val="00881DD5"/>
    <w:rsid w:val="00892EF8"/>
    <w:rsid w:val="008A1A55"/>
    <w:rsid w:val="008A34D3"/>
    <w:rsid w:val="008A49BE"/>
    <w:rsid w:val="008A56D1"/>
    <w:rsid w:val="008B14D0"/>
    <w:rsid w:val="008C3521"/>
    <w:rsid w:val="008D1897"/>
    <w:rsid w:val="008D277C"/>
    <w:rsid w:val="008D7197"/>
    <w:rsid w:val="008E217F"/>
    <w:rsid w:val="008F02C6"/>
    <w:rsid w:val="008F5FB1"/>
    <w:rsid w:val="008F6CFF"/>
    <w:rsid w:val="008F7E1E"/>
    <w:rsid w:val="009047D6"/>
    <w:rsid w:val="009107C8"/>
    <w:rsid w:val="00912D22"/>
    <w:rsid w:val="009154B6"/>
    <w:rsid w:val="00916E37"/>
    <w:rsid w:val="00922F67"/>
    <w:rsid w:val="009260A6"/>
    <w:rsid w:val="0093654A"/>
    <w:rsid w:val="00950DD6"/>
    <w:rsid w:val="00972B23"/>
    <w:rsid w:val="00975008"/>
    <w:rsid w:val="00977BD7"/>
    <w:rsid w:val="0098584E"/>
    <w:rsid w:val="00991C85"/>
    <w:rsid w:val="009A0C15"/>
    <w:rsid w:val="009A7A2F"/>
    <w:rsid w:val="009B72DC"/>
    <w:rsid w:val="009B7874"/>
    <w:rsid w:val="009C2EB9"/>
    <w:rsid w:val="009D31EE"/>
    <w:rsid w:val="009D4555"/>
    <w:rsid w:val="009E31B0"/>
    <w:rsid w:val="009E793F"/>
    <w:rsid w:val="00A10016"/>
    <w:rsid w:val="00A12488"/>
    <w:rsid w:val="00A1357C"/>
    <w:rsid w:val="00A150E7"/>
    <w:rsid w:val="00A17377"/>
    <w:rsid w:val="00A17A8D"/>
    <w:rsid w:val="00A2403C"/>
    <w:rsid w:val="00A3293D"/>
    <w:rsid w:val="00A33AD1"/>
    <w:rsid w:val="00A362DB"/>
    <w:rsid w:val="00A4736E"/>
    <w:rsid w:val="00A54D88"/>
    <w:rsid w:val="00A607E6"/>
    <w:rsid w:val="00A61CEF"/>
    <w:rsid w:val="00A6644B"/>
    <w:rsid w:val="00A740B1"/>
    <w:rsid w:val="00A74133"/>
    <w:rsid w:val="00A7518E"/>
    <w:rsid w:val="00A77195"/>
    <w:rsid w:val="00A77876"/>
    <w:rsid w:val="00A8735C"/>
    <w:rsid w:val="00A959AF"/>
    <w:rsid w:val="00AA19B2"/>
    <w:rsid w:val="00AB4FC4"/>
    <w:rsid w:val="00AC0984"/>
    <w:rsid w:val="00AD0EEC"/>
    <w:rsid w:val="00AF11A3"/>
    <w:rsid w:val="00AF56B0"/>
    <w:rsid w:val="00AF7267"/>
    <w:rsid w:val="00B1548A"/>
    <w:rsid w:val="00B30D74"/>
    <w:rsid w:val="00B42E60"/>
    <w:rsid w:val="00B43A11"/>
    <w:rsid w:val="00B51021"/>
    <w:rsid w:val="00B55E55"/>
    <w:rsid w:val="00B576E3"/>
    <w:rsid w:val="00B62CB6"/>
    <w:rsid w:val="00B63D03"/>
    <w:rsid w:val="00B64143"/>
    <w:rsid w:val="00B64AA0"/>
    <w:rsid w:val="00B812B5"/>
    <w:rsid w:val="00B91524"/>
    <w:rsid w:val="00B9189E"/>
    <w:rsid w:val="00BA2AE9"/>
    <w:rsid w:val="00BA33C7"/>
    <w:rsid w:val="00BA39CD"/>
    <w:rsid w:val="00BA79A0"/>
    <w:rsid w:val="00BC3344"/>
    <w:rsid w:val="00BC33F5"/>
    <w:rsid w:val="00BD2EBA"/>
    <w:rsid w:val="00BF0CAC"/>
    <w:rsid w:val="00BF0F23"/>
    <w:rsid w:val="00BF1AD7"/>
    <w:rsid w:val="00BF4554"/>
    <w:rsid w:val="00BF7899"/>
    <w:rsid w:val="00C0080E"/>
    <w:rsid w:val="00C12F57"/>
    <w:rsid w:val="00C14C89"/>
    <w:rsid w:val="00C16A3C"/>
    <w:rsid w:val="00C27C62"/>
    <w:rsid w:val="00C33CC2"/>
    <w:rsid w:val="00C404D3"/>
    <w:rsid w:val="00C432FC"/>
    <w:rsid w:val="00C46072"/>
    <w:rsid w:val="00C471C1"/>
    <w:rsid w:val="00C55805"/>
    <w:rsid w:val="00C6482E"/>
    <w:rsid w:val="00C64FA0"/>
    <w:rsid w:val="00C65698"/>
    <w:rsid w:val="00C73B07"/>
    <w:rsid w:val="00C74196"/>
    <w:rsid w:val="00C7495E"/>
    <w:rsid w:val="00C761EE"/>
    <w:rsid w:val="00C770E8"/>
    <w:rsid w:val="00C81096"/>
    <w:rsid w:val="00C9772A"/>
    <w:rsid w:val="00CA6833"/>
    <w:rsid w:val="00CA7F9D"/>
    <w:rsid w:val="00CB1099"/>
    <w:rsid w:val="00CB1C38"/>
    <w:rsid w:val="00CB5C1B"/>
    <w:rsid w:val="00CB60F4"/>
    <w:rsid w:val="00CC0250"/>
    <w:rsid w:val="00CD02A1"/>
    <w:rsid w:val="00CD193C"/>
    <w:rsid w:val="00CD4380"/>
    <w:rsid w:val="00CD56DD"/>
    <w:rsid w:val="00CE5111"/>
    <w:rsid w:val="00CE6C57"/>
    <w:rsid w:val="00CF1A8A"/>
    <w:rsid w:val="00D02844"/>
    <w:rsid w:val="00D16B6D"/>
    <w:rsid w:val="00D17D40"/>
    <w:rsid w:val="00D26C80"/>
    <w:rsid w:val="00D3010D"/>
    <w:rsid w:val="00D306FD"/>
    <w:rsid w:val="00D30C6D"/>
    <w:rsid w:val="00D32EB7"/>
    <w:rsid w:val="00D333E8"/>
    <w:rsid w:val="00D42BE9"/>
    <w:rsid w:val="00D46429"/>
    <w:rsid w:val="00D54A50"/>
    <w:rsid w:val="00D557A7"/>
    <w:rsid w:val="00D559F8"/>
    <w:rsid w:val="00D61C51"/>
    <w:rsid w:val="00D77756"/>
    <w:rsid w:val="00D82A75"/>
    <w:rsid w:val="00D85B0D"/>
    <w:rsid w:val="00D86933"/>
    <w:rsid w:val="00DA200C"/>
    <w:rsid w:val="00DA5119"/>
    <w:rsid w:val="00DA6BDD"/>
    <w:rsid w:val="00DA7476"/>
    <w:rsid w:val="00DB1292"/>
    <w:rsid w:val="00DC07C5"/>
    <w:rsid w:val="00DC4353"/>
    <w:rsid w:val="00DD0BAA"/>
    <w:rsid w:val="00DD1865"/>
    <w:rsid w:val="00DD3DF2"/>
    <w:rsid w:val="00DD61BC"/>
    <w:rsid w:val="00DE5E3D"/>
    <w:rsid w:val="00DE6919"/>
    <w:rsid w:val="00DF43A7"/>
    <w:rsid w:val="00DF6ED3"/>
    <w:rsid w:val="00DF77C4"/>
    <w:rsid w:val="00E019C0"/>
    <w:rsid w:val="00E07E34"/>
    <w:rsid w:val="00E14AE6"/>
    <w:rsid w:val="00E15A0C"/>
    <w:rsid w:val="00E22E2E"/>
    <w:rsid w:val="00E2447A"/>
    <w:rsid w:val="00E337C7"/>
    <w:rsid w:val="00E41D02"/>
    <w:rsid w:val="00E43DFA"/>
    <w:rsid w:val="00E51737"/>
    <w:rsid w:val="00E53C75"/>
    <w:rsid w:val="00E56A3F"/>
    <w:rsid w:val="00E605F1"/>
    <w:rsid w:val="00E6332F"/>
    <w:rsid w:val="00E63538"/>
    <w:rsid w:val="00E75269"/>
    <w:rsid w:val="00E7660E"/>
    <w:rsid w:val="00E769B1"/>
    <w:rsid w:val="00E825B6"/>
    <w:rsid w:val="00E92DCF"/>
    <w:rsid w:val="00E9712E"/>
    <w:rsid w:val="00EA1659"/>
    <w:rsid w:val="00EA29B3"/>
    <w:rsid w:val="00EC01AF"/>
    <w:rsid w:val="00EC0366"/>
    <w:rsid w:val="00EC3DDC"/>
    <w:rsid w:val="00EC4097"/>
    <w:rsid w:val="00ED3140"/>
    <w:rsid w:val="00ED36D1"/>
    <w:rsid w:val="00ED3F97"/>
    <w:rsid w:val="00ED4D78"/>
    <w:rsid w:val="00ED588A"/>
    <w:rsid w:val="00EE10AC"/>
    <w:rsid w:val="00EE111D"/>
    <w:rsid w:val="00EF034F"/>
    <w:rsid w:val="00EF57BE"/>
    <w:rsid w:val="00F0477E"/>
    <w:rsid w:val="00F154E0"/>
    <w:rsid w:val="00F36E0E"/>
    <w:rsid w:val="00F425CB"/>
    <w:rsid w:val="00F526F0"/>
    <w:rsid w:val="00F54FE7"/>
    <w:rsid w:val="00F56D3C"/>
    <w:rsid w:val="00F636FF"/>
    <w:rsid w:val="00F64C87"/>
    <w:rsid w:val="00F67AF5"/>
    <w:rsid w:val="00F70E95"/>
    <w:rsid w:val="00F71FB7"/>
    <w:rsid w:val="00F778B3"/>
    <w:rsid w:val="00F820F9"/>
    <w:rsid w:val="00F84418"/>
    <w:rsid w:val="00F87C14"/>
    <w:rsid w:val="00FB448B"/>
    <w:rsid w:val="00FC52A0"/>
    <w:rsid w:val="00FD16D7"/>
    <w:rsid w:val="00FD1E5D"/>
    <w:rsid w:val="00FE0598"/>
    <w:rsid w:val="00FE5614"/>
    <w:rsid w:val="00FF4482"/>
    <w:rsid w:val="00FF6B73"/>
    <w:rsid w:val="00FF70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37B4"/>
  <w15:docId w15:val="{605E9ADA-0387-40E1-A09A-969A86A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8A"/>
    <w:rPr>
      <w:rFonts w:ascii="Times New Roman" w:eastAsia="Times New Roman" w:hAnsi="Times New Roman"/>
      <w:sz w:val="24"/>
      <w:szCs w:val="24"/>
    </w:rPr>
  </w:style>
  <w:style w:type="paragraph" w:styleId="Titre1">
    <w:name w:val="heading 1"/>
    <w:basedOn w:val="Normal"/>
    <w:next w:val="Normal"/>
    <w:link w:val="Titre1Car"/>
    <w:uiPriority w:val="9"/>
    <w:qFormat/>
    <w:rsid w:val="00EC4097"/>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EC4097"/>
    <w:pPr>
      <w:keepNext/>
      <w:suppressAutoHyphens/>
      <w:jc w:val="center"/>
      <w:outlineLvl w:val="2"/>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CF1A8A"/>
    <w:pPr>
      <w:tabs>
        <w:tab w:val="center" w:pos="4536"/>
        <w:tab w:val="right" w:pos="9072"/>
      </w:tabs>
    </w:pPr>
  </w:style>
  <w:style w:type="character" w:customStyle="1" w:styleId="PieddepageCar">
    <w:name w:val="Pied de page Car"/>
    <w:basedOn w:val="Policepardfaut"/>
    <w:link w:val="Pieddepage"/>
    <w:rsid w:val="00CF1A8A"/>
    <w:rPr>
      <w:rFonts w:ascii="Times New Roman" w:eastAsia="Times New Roman" w:hAnsi="Times New Roman" w:cs="Times New Roman"/>
      <w:sz w:val="24"/>
      <w:szCs w:val="24"/>
      <w:lang w:eastAsia="fr-FR"/>
    </w:rPr>
  </w:style>
  <w:style w:type="character" w:styleId="Numrodepage">
    <w:name w:val="page number"/>
    <w:basedOn w:val="Policepardfaut"/>
    <w:rsid w:val="00CF1A8A"/>
  </w:style>
  <w:style w:type="paragraph" w:styleId="Paragraphedeliste">
    <w:name w:val="List Paragraph"/>
    <w:aliases w:val="Numbered List Paragraph,Bullets,List Paragraph (numbered (a)),References,WB List Paragraph,Liste 1,ReferencesCxSpLast,Paragraphe de liste1,Paragraphe de liste11,Lapis Bulleted List,List Paragraph nowy,Paragraphe  revu,Bullet L1,Body"/>
    <w:basedOn w:val="Normal"/>
    <w:link w:val="ParagraphedelisteCar"/>
    <w:uiPriority w:val="34"/>
    <w:qFormat/>
    <w:rsid w:val="00CF1A8A"/>
    <w:pPr>
      <w:ind w:left="720"/>
      <w:contextualSpacing/>
    </w:pPr>
    <w:rPr>
      <w:rFonts w:ascii="Garamond" w:hAnsi="Garamond"/>
      <w:sz w:val="26"/>
      <w:szCs w:val="20"/>
    </w:rPr>
  </w:style>
  <w:style w:type="character" w:customStyle="1" w:styleId="ParagraphedelisteCar">
    <w:name w:val="Paragraphe de liste Car"/>
    <w:aliases w:val="Numbered List Paragraph Car,Bullets Car,List Paragraph (numbered (a)) Car,References Car,WB List Paragraph Car,Liste 1 Car,ReferencesCxSpLast Car,Paragraphe de liste1 Car,Paragraphe de liste11 Car,Lapis Bulleted List Car,Body Car"/>
    <w:basedOn w:val="Policepardfaut"/>
    <w:link w:val="Paragraphedeliste"/>
    <w:uiPriority w:val="34"/>
    <w:qFormat/>
    <w:rsid w:val="00CF1A8A"/>
    <w:rPr>
      <w:rFonts w:ascii="Garamond" w:eastAsia="Times New Roman" w:hAnsi="Garamond" w:cs="Times New Roman"/>
      <w:sz w:val="26"/>
      <w:szCs w:val="20"/>
      <w:lang w:eastAsia="fr-FR"/>
    </w:rPr>
  </w:style>
  <w:style w:type="paragraph" w:customStyle="1" w:styleId="xl34">
    <w:name w:val="xl34"/>
    <w:basedOn w:val="Normal"/>
    <w:rsid w:val="00CF1A8A"/>
    <w:pPr>
      <w:pBdr>
        <w:right w:val="single" w:sz="8" w:space="0" w:color="auto"/>
      </w:pBdr>
      <w:spacing w:before="100" w:after="100"/>
    </w:pPr>
    <w:rPr>
      <w:rFonts w:ascii="Arial Unicode MS" w:eastAsia="Arial Unicode MS" w:hAnsi="Arial Unicode MS"/>
      <w:szCs w:val="20"/>
    </w:rPr>
  </w:style>
  <w:style w:type="paragraph" w:styleId="Textedebulles">
    <w:name w:val="Balloon Text"/>
    <w:basedOn w:val="Normal"/>
    <w:link w:val="TextedebullesCar"/>
    <w:uiPriority w:val="99"/>
    <w:semiHidden/>
    <w:unhideWhenUsed/>
    <w:rsid w:val="00CF1A8A"/>
    <w:rPr>
      <w:rFonts w:ascii="Tahoma" w:hAnsi="Tahoma" w:cs="Tahoma"/>
      <w:sz w:val="16"/>
      <w:szCs w:val="16"/>
    </w:rPr>
  </w:style>
  <w:style w:type="character" w:customStyle="1" w:styleId="TextedebullesCar">
    <w:name w:val="Texte de bulles Car"/>
    <w:basedOn w:val="Policepardfaut"/>
    <w:link w:val="Textedebulles"/>
    <w:uiPriority w:val="99"/>
    <w:semiHidden/>
    <w:rsid w:val="00CF1A8A"/>
    <w:rPr>
      <w:rFonts w:ascii="Tahoma" w:eastAsia="Times New Roman" w:hAnsi="Tahoma" w:cs="Tahoma"/>
      <w:sz w:val="16"/>
      <w:szCs w:val="16"/>
      <w:lang w:eastAsia="fr-FR"/>
    </w:rPr>
  </w:style>
  <w:style w:type="character" w:customStyle="1" w:styleId="Titre3Car">
    <w:name w:val="Titre 3 Car"/>
    <w:basedOn w:val="Policepardfaut"/>
    <w:link w:val="Titre3"/>
    <w:rsid w:val="00EC4097"/>
    <w:rPr>
      <w:rFonts w:ascii="Times New Roman" w:eastAsia="Times New Roman" w:hAnsi="Times New Roman"/>
      <w:b/>
      <w:sz w:val="32"/>
      <w:szCs w:val="24"/>
    </w:rPr>
  </w:style>
  <w:style w:type="paragraph" w:customStyle="1" w:styleId="NonGras">
    <w:name w:val="Non Gras"/>
    <w:basedOn w:val="Titre1"/>
    <w:rsid w:val="00EC4097"/>
    <w:pPr>
      <w:keepNext w:val="0"/>
      <w:tabs>
        <w:tab w:val="left" w:pos="-1440"/>
        <w:tab w:val="left" w:pos="-720"/>
        <w:tab w:val="left" w:pos="1"/>
        <w:tab w:val="left" w:pos="54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after="0"/>
      <w:jc w:val="both"/>
    </w:pPr>
    <w:rPr>
      <w:rFonts w:ascii="Times New Roman" w:hAnsi="Times New Roman"/>
      <w:b w:val="0"/>
      <w:kern w:val="0"/>
      <w:sz w:val="24"/>
      <w:szCs w:val="20"/>
    </w:rPr>
  </w:style>
  <w:style w:type="character" w:customStyle="1" w:styleId="Titre1Car">
    <w:name w:val="Titre 1 Car"/>
    <w:basedOn w:val="Policepardfaut"/>
    <w:link w:val="Titre1"/>
    <w:uiPriority w:val="9"/>
    <w:rsid w:val="00EC4097"/>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584E67"/>
    <w:pPr>
      <w:tabs>
        <w:tab w:val="center" w:pos="4536"/>
        <w:tab w:val="right" w:pos="9072"/>
      </w:tabs>
    </w:pPr>
  </w:style>
  <w:style w:type="character" w:customStyle="1" w:styleId="En-tteCar">
    <w:name w:val="En-tête Car"/>
    <w:basedOn w:val="Policepardfaut"/>
    <w:link w:val="En-tte"/>
    <w:uiPriority w:val="99"/>
    <w:semiHidden/>
    <w:rsid w:val="00584E67"/>
    <w:rPr>
      <w:rFonts w:ascii="Times New Roman" w:eastAsia="Times New Roman" w:hAnsi="Times New Roman"/>
      <w:sz w:val="24"/>
      <w:szCs w:val="24"/>
    </w:rPr>
  </w:style>
  <w:style w:type="character" w:styleId="Lienhypertexte">
    <w:name w:val="Hyperlink"/>
    <w:basedOn w:val="Policepardfaut"/>
    <w:uiPriority w:val="99"/>
    <w:unhideWhenUsed/>
    <w:rsid w:val="00F54FE7"/>
    <w:rPr>
      <w:color w:val="0000FF"/>
      <w:u w:val="single"/>
    </w:rPr>
  </w:style>
  <w:style w:type="character" w:customStyle="1" w:styleId="hps">
    <w:name w:val="hps"/>
    <w:basedOn w:val="Policepardfaut"/>
    <w:rsid w:val="00062E19"/>
  </w:style>
  <w:style w:type="paragraph" w:styleId="Notedebasdepage">
    <w:name w:val="footnote text"/>
    <w:aliases w:val="fn,fn1,Geneva 9,Font: Geneva 9,Boston 10,f,FOOTNOTES,single space,footnote text,Texte de note de bas de page,ALTS FOOTNOTE,Fodnotetekst Tegn,ft,Footnote Text Char2,Footnote Text Char1 Char,ADB,Car,Note de bas de page Car1 Car Car,9"/>
    <w:basedOn w:val="Normal"/>
    <w:link w:val="NotedebasdepageCar"/>
    <w:uiPriority w:val="99"/>
    <w:unhideWhenUsed/>
    <w:qFormat/>
    <w:rsid w:val="006A107C"/>
    <w:rPr>
      <w:rFonts w:ascii="Century Schoolbook" w:eastAsiaTheme="minorHAnsi" w:hAnsi="Century Schoolbook" w:cstheme="minorBidi"/>
      <w:sz w:val="20"/>
      <w:szCs w:val="20"/>
      <w:lang w:val="en-US" w:eastAsia="en-US"/>
    </w:rPr>
  </w:style>
  <w:style w:type="character" w:customStyle="1" w:styleId="NotedebasdepageCar">
    <w:name w:val="Note de bas de page Car"/>
    <w:aliases w:val="fn Car,fn1 Car,Geneva 9 Car,Font: Geneva 9 Car,Boston 10 Car,f Car,FOOTNOTES Car,single space Car,footnote text Car,Texte de note de bas de page Car,ALTS FOOTNOTE Car,Fodnotetekst Tegn Car,ft Car,Footnote Text Char2 Car,ADB Car"/>
    <w:basedOn w:val="Policepardfaut"/>
    <w:link w:val="Notedebasdepage"/>
    <w:uiPriority w:val="99"/>
    <w:qFormat/>
    <w:rsid w:val="006A107C"/>
    <w:rPr>
      <w:rFonts w:ascii="Century Schoolbook" w:eastAsiaTheme="minorHAnsi" w:hAnsi="Century Schoolbook" w:cstheme="minorBidi"/>
      <w:lang w:val="en-US" w:eastAsia="en-US"/>
    </w:rPr>
  </w:style>
  <w:style w:type="character" w:styleId="Appelnotedebasdep">
    <w:name w:val="footnote reference"/>
    <w:aliases w:val="ftref,16 Point,Superscript 6 Point,Ref,de nota al pie,Footnote,BVI fnr, BVI fnr,Знак сноски 1,Footnote Reference Number,Footnote Reference Char Char Char,Normal + Font:9 Point,Superscript 3 Point Times,note bp,16 Point Char Char"/>
    <w:basedOn w:val="Policepardfaut"/>
    <w:link w:val="16PointChar"/>
    <w:uiPriority w:val="99"/>
    <w:unhideWhenUsed/>
    <w:qFormat/>
    <w:rsid w:val="006A107C"/>
    <w:rPr>
      <w:vertAlign w:val="superscript"/>
    </w:rPr>
  </w:style>
  <w:style w:type="paragraph" w:styleId="Corpsdetexte">
    <w:name w:val="Body Text"/>
    <w:basedOn w:val="Normal"/>
    <w:link w:val="CorpsdetexteCar"/>
    <w:rsid w:val="00977BD7"/>
    <w:pPr>
      <w:suppressAutoHyphens/>
    </w:pPr>
    <w:rPr>
      <w:rFonts w:ascii="CG Times" w:hAnsi="CG Times"/>
      <w:spacing w:val="-2"/>
      <w:szCs w:val="20"/>
      <w:lang w:val="en-US" w:eastAsia="en-US"/>
    </w:rPr>
  </w:style>
  <w:style w:type="character" w:customStyle="1" w:styleId="CorpsdetexteCar">
    <w:name w:val="Corps de texte Car"/>
    <w:basedOn w:val="Policepardfaut"/>
    <w:link w:val="Corpsdetexte"/>
    <w:rsid w:val="00977BD7"/>
    <w:rPr>
      <w:rFonts w:ascii="CG Times" w:eastAsia="Times New Roman" w:hAnsi="CG Times"/>
      <w:spacing w:val="-2"/>
      <w:sz w:val="24"/>
      <w:lang w:val="en-US" w:eastAsia="en-US"/>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05EE1"/>
    <w:pPr>
      <w:spacing w:after="160" w:line="240" w:lineRule="exact"/>
    </w:pPr>
    <w:rPr>
      <w:rFonts w:ascii="Calibri" w:eastAsia="Calibri" w:hAnsi="Calibri"/>
      <w:sz w:val="20"/>
      <w:szCs w:val="20"/>
      <w:vertAlign w:val="superscript"/>
    </w:rPr>
  </w:style>
  <w:style w:type="paragraph" w:styleId="Rvision">
    <w:name w:val="Revision"/>
    <w:hidden/>
    <w:uiPriority w:val="99"/>
    <w:semiHidden/>
    <w:rsid w:val="00603BF4"/>
    <w:rPr>
      <w:rFonts w:ascii="Times New Roman" w:eastAsia="Times New Roman" w:hAnsi="Times New Roman"/>
      <w:sz w:val="24"/>
      <w:szCs w:val="24"/>
    </w:rPr>
  </w:style>
  <w:style w:type="character" w:styleId="Marquedecommentaire">
    <w:name w:val="annotation reference"/>
    <w:uiPriority w:val="99"/>
    <w:unhideWhenUsed/>
    <w:rsid w:val="00FE5614"/>
    <w:rPr>
      <w:sz w:val="16"/>
      <w:szCs w:val="16"/>
    </w:rPr>
  </w:style>
  <w:style w:type="paragraph" w:styleId="Commentaire">
    <w:name w:val="annotation text"/>
    <w:basedOn w:val="Normal"/>
    <w:link w:val="CommentaireCar"/>
    <w:uiPriority w:val="99"/>
    <w:semiHidden/>
    <w:unhideWhenUsed/>
    <w:rsid w:val="003517E7"/>
    <w:rPr>
      <w:sz w:val="20"/>
      <w:szCs w:val="20"/>
    </w:rPr>
  </w:style>
  <w:style w:type="character" w:customStyle="1" w:styleId="CommentaireCar">
    <w:name w:val="Commentaire Car"/>
    <w:basedOn w:val="Policepardfaut"/>
    <w:link w:val="Commentaire"/>
    <w:uiPriority w:val="99"/>
    <w:semiHidden/>
    <w:rsid w:val="003517E7"/>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3517E7"/>
    <w:rPr>
      <w:b/>
      <w:bCs/>
    </w:rPr>
  </w:style>
  <w:style w:type="character" w:customStyle="1" w:styleId="ObjetducommentaireCar">
    <w:name w:val="Objet du commentaire Car"/>
    <w:basedOn w:val="CommentaireCar"/>
    <w:link w:val="Objetducommentaire"/>
    <w:uiPriority w:val="99"/>
    <w:semiHidden/>
    <w:rsid w:val="003517E7"/>
    <w:rPr>
      <w:rFonts w:ascii="Times New Roman" w:eastAsia="Times New Roman" w:hAnsi="Times New Roman"/>
      <w:b/>
      <w:bCs/>
    </w:rPr>
  </w:style>
  <w:style w:type="paragraph" w:customStyle="1" w:styleId="Default">
    <w:name w:val="Default"/>
    <w:rsid w:val="00A8735C"/>
    <w:pPr>
      <w:autoSpaceDE w:val="0"/>
      <w:autoSpaceDN w:val="0"/>
      <w:adjustRightInd w:val="0"/>
    </w:pPr>
    <w:rPr>
      <w:rFonts w:cs="Calibri"/>
      <w:color w:val="000000"/>
      <w:sz w:val="24"/>
      <w:szCs w:val="24"/>
      <w:lang w:eastAsia="en-US"/>
    </w:rPr>
  </w:style>
  <w:style w:type="paragraph" w:customStyle="1" w:styleId="Puce1DDM">
    <w:name w:val="Puce 1 DDM"/>
    <w:basedOn w:val="Normal"/>
    <w:qFormat/>
    <w:rsid w:val="006A6AFD"/>
    <w:pPr>
      <w:spacing w:before="40"/>
      <w:jc w:val="both"/>
    </w:pPr>
    <w:rPr>
      <w:rFonts w:ascii="Calibri" w:eastAsia="MS Mincho" w:hAnsi="Calibri"/>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72740">
      <w:bodyDiv w:val="1"/>
      <w:marLeft w:val="0"/>
      <w:marRight w:val="0"/>
      <w:marTop w:val="0"/>
      <w:marBottom w:val="0"/>
      <w:divBdr>
        <w:top w:val="none" w:sz="0" w:space="0" w:color="auto"/>
        <w:left w:val="none" w:sz="0" w:space="0" w:color="auto"/>
        <w:bottom w:val="none" w:sz="0" w:space="0" w:color="auto"/>
        <w:right w:val="none" w:sz="0" w:space="0" w:color="auto"/>
      </w:divBdr>
    </w:div>
    <w:div w:id="9714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akary57@yahoo.fr" TargetMode="External"/><Relationship Id="rId3" Type="http://schemas.openxmlformats.org/officeDocument/2006/relationships/settings" Target="settings.xml"/><Relationship Id="rId7" Type="http://schemas.openxmlformats.org/officeDocument/2006/relationships/hyperlink" Target="mailto:fatoumata.bocoum@prapsmali.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1652</Words>
  <Characters>9092</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sotraore</dc:creator>
  <cp:lastModifiedBy>Fatoumata BOCOUM</cp:lastModifiedBy>
  <cp:revision>12</cp:revision>
  <cp:lastPrinted>2021-04-16T12:20:00Z</cp:lastPrinted>
  <dcterms:created xsi:type="dcterms:W3CDTF">2024-04-17T13:41:00Z</dcterms:created>
  <dcterms:modified xsi:type="dcterms:W3CDTF">2024-04-17T14:01:00Z</dcterms:modified>
</cp:coreProperties>
</file>