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6031CA2D" w:rsidR="008F02C6" w:rsidRDefault="008F02C6" w:rsidP="00EC4097">
      <w:pPr>
        <w:suppressAutoHyphens/>
        <w:jc w:val="center"/>
        <w:rPr>
          <w:b/>
          <w:sz w:val="32"/>
        </w:rPr>
      </w:pPr>
      <w:r>
        <w:rPr>
          <w:b/>
          <w:sz w:val="32"/>
        </w:rPr>
        <w:t xml:space="preserve">MINISTERE </w:t>
      </w:r>
      <w:r w:rsidR="00A959AF">
        <w:rPr>
          <w:b/>
          <w:sz w:val="32"/>
        </w:rPr>
        <w:t>D</w:t>
      </w:r>
      <w:r w:rsidR="004C09F6">
        <w:rPr>
          <w:b/>
          <w:sz w:val="32"/>
        </w:rPr>
        <w:t>E L’ELEVAGE ET DE LA PECHE</w:t>
      </w:r>
    </w:p>
    <w:p w14:paraId="3E8837B9" w14:textId="77777777" w:rsidR="008F02C6" w:rsidRDefault="008F02C6" w:rsidP="00EC4097">
      <w:pPr>
        <w:suppressAutoHyphens/>
        <w:jc w:val="center"/>
        <w:rPr>
          <w:b/>
          <w:sz w:val="32"/>
        </w:rPr>
      </w:pPr>
    </w:p>
    <w:p w14:paraId="7937A14B" w14:textId="77777777" w:rsidR="004C09F6"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4C09F6">
        <w:rPr>
          <w:b/>
        </w:rPr>
        <w:t>II</w:t>
      </w:r>
      <w:r w:rsidR="008447B6">
        <w:rPr>
          <w:b/>
        </w:rPr>
        <w:t xml:space="preserve"> </w:t>
      </w:r>
    </w:p>
    <w:p w14:paraId="3E8837BA" w14:textId="4F84D184" w:rsidR="00EC4097" w:rsidRPr="008A49BE" w:rsidRDefault="002A3136" w:rsidP="00EC4097">
      <w:pPr>
        <w:suppressAutoHyphens/>
        <w:jc w:val="center"/>
        <w:rPr>
          <w:b/>
        </w:rPr>
      </w:pPr>
      <w:r>
        <w:rPr>
          <w:b/>
        </w:rPr>
        <w:t>(P</w:t>
      </w:r>
      <w:r w:rsidR="00A959AF">
        <w:rPr>
          <w:b/>
        </w:rPr>
        <w:t xml:space="preserve">RAPS </w:t>
      </w:r>
      <w:r w:rsidR="004C09F6">
        <w:rPr>
          <w:b/>
        </w:rPr>
        <w:t>2</w:t>
      </w:r>
      <w:r>
        <w:rPr>
          <w:b/>
        </w:rPr>
        <w:t>-M</w:t>
      </w:r>
      <w:r w:rsidR="00F67AF5">
        <w:rPr>
          <w:b/>
        </w:rPr>
        <w:t>L</w:t>
      </w:r>
      <w:r>
        <w:rPr>
          <w:b/>
        </w:rPr>
        <w:t>)</w:t>
      </w:r>
    </w:p>
    <w:p w14:paraId="3E8837BB" w14:textId="77777777" w:rsidR="006D39E8" w:rsidRPr="008A49BE" w:rsidRDefault="006D39E8" w:rsidP="003A7703">
      <w:pPr>
        <w:suppressAutoHyphens/>
        <w:rPr>
          <w:b/>
        </w:rPr>
      </w:pPr>
    </w:p>
    <w:p w14:paraId="53EB9822" w14:textId="75AE7A5B" w:rsidR="00F1161E" w:rsidRPr="00F1161E" w:rsidRDefault="00F1161E" w:rsidP="00F1161E">
      <w:pPr>
        <w:pStyle w:val="Default"/>
        <w:jc w:val="center"/>
        <w:rPr>
          <w:rFonts w:ascii="Times New Roman" w:hAnsi="Times New Roman" w:cs="Times New Roman"/>
          <w:b/>
          <w:bCs/>
          <w:color w:val="auto"/>
        </w:rPr>
      </w:pPr>
      <w:r w:rsidRPr="00F1161E">
        <w:rPr>
          <w:rFonts w:ascii="Times New Roman" w:hAnsi="Times New Roman" w:cs="Times New Roman"/>
          <w:b/>
          <w:bCs/>
          <w:color w:val="auto"/>
        </w:rPr>
        <w:t>RECRUTEMENT D’UNE ONG POUR L'APPUI-ACCOMPAGNEMENT POUR LA RESTAURATION/GESTION DE 1 130 HA DE BOURGOUTIERES DANS LA REGION DE TOMBOUCTOU</w:t>
      </w: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3E2FCB21"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CD4541" w:rsidRPr="00CD4541">
        <w:rPr>
          <w:b/>
          <w:bCs/>
        </w:rPr>
        <w:t>ML-PRAPS-ML-395217-CS-CQS</w:t>
      </w:r>
    </w:p>
    <w:p w14:paraId="3E8837BF" w14:textId="77777777" w:rsidR="00CF1A8A" w:rsidRPr="00697D03" w:rsidRDefault="00CF1A8A" w:rsidP="00CF1A8A">
      <w:pPr>
        <w:rPr>
          <w:b/>
          <w:bCs/>
          <w:sz w:val="22"/>
          <w:szCs w:val="22"/>
        </w:rPr>
      </w:pPr>
    </w:p>
    <w:p w14:paraId="3E8837C0" w14:textId="7E5C9068" w:rsidR="00C6482E" w:rsidRPr="00CB60F4" w:rsidRDefault="0028291E" w:rsidP="00697D03">
      <w:pPr>
        <w:pStyle w:val="Default"/>
        <w:rPr>
          <w:rFonts w:ascii="Times New Roman" w:hAnsi="Times New Roman" w:cs="Times New Roman"/>
        </w:rPr>
      </w:pPr>
      <w:r w:rsidRPr="00697D03">
        <w:rPr>
          <w:rFonts w:ascii="Times New Roman" w:hAnsi="Times New Roman" w:cs="Times New Roman"/>
        </w:rPr>
        <w:t>1</w:t>
      </w:r>
      <w:r w:rsidR="008A49BE" w:rsidRPr="00697D03">
        <w:rPr>
          <w:rFonts w:ascii="Times New Roman" w:hAnsi="Times New Roman" w:cs="Times New Roman"/>
        </w:rPr>
        <w:t>.</w:t>
      </w:r>
      <w:r w:rsidR="008A49BE" w:rsidRPr="00697D03">
        <w:rPr>
          <w:rFonts w:ascii="Times New Roman" w:hAnsi="Times New Roman" w:cs="Times New Roman"/>
        </w:rPr>
        <w:tab/>
      </w:r>
      <w:r w:rsidR="00C6482E" w:rsidRPr="00697D03">
        <w:rPr>
          <w:rFonts w:ascii="Times New Roman" w:hAnsi="Times New Roman" w:cs="Times New Roman"/>
        </w:rPr>
        <w:t xml:space="preserve">Le Gouvernement de la République du Mali a </w:t>
      </w:r>
      <w:r w:rsidR="007211CE" w:rsidRPr="00697D03">
        <w:rPr>
          <w:rFonts w:ascii="Times New Roman" w:hAnsi="Times New Roman" w:cs="Times New Roman"/>
        </w:rPr>
        <w:t>reçu</w:t>
      </w:r>
      <w:r w:rsidR="00C6482E" w:rsidRPr="00697D03">
        <w:rPr>
          <w:rFonts w:ascii="Times New Roman" w:hAnsi="Times New Roman" w:cs="Times New Roman"/>
        </w:rPr>
        <w:t xml:space="preserve"> un </w:t>
      </w:r>
      <w:r w:rsidR="007211CE" w:rsidRPr="00697D03">
        <w:rPr>
          <w:rFonts w:ascii="Times New Roman" w:hAnsi="Times New Roman" w:cs="Times New Roman"/>
        </w:rPr>
        <w:t>financement</w:t>
      </w:r>
      <w:r w:rsidR="00C6482E" w:rsidRPr="00697D03">
        <w:rPr>
          <w:rFonts w:ascii="Times New Roman" w:hAnsi="Times New Roman" w:cs="Times New Roman"/>
        </w:rPr>
        <w:t xml:space="preserve"> de l’Association Internationale de Développement (IDA)</w:t>
      </w:r>
      <w:r w:rsidR="007211CE" w:rsidRPr="00697D03">
        <w:rPr>
          <w:rFonts w:ascii="Times New Roman" w:hAnsi="Times New Roman" w:cs="Times New Roman"/>
          <w:i/>
        </w:rPr>
        <w:t xml:space="preserve">, </w:t>
      </w:r>
      <w:r w:rsidR="007211CE" w:rsidRPr="00697D03">
        <w:rPr>
          <w:rFonts w:ascii="Times New Roman" w:hAnsi="Times New Roman" w:cs="Times New Roman"/>
        </w:rPr>
        <w:t>et a l’intention d’utiliser une partie du montant de</w:t>
      </w:r>
      <w:r w:rsidR="00C6482E" w:rsidRPr="00697D03">
        <w:rPr>
          <w:rFonts w:ascii="Times New Roman" w:hAnsi="Times New Roman" w:cs="Times New Roman"/>
        </w:rPr>
        <w:t xml:space="preserve"> ce</w:t>
      </w:r>
      <w:r w:rsidR="00CC0250" w:rsidRPr="00697D03">
        <w:rPr>
          <w:rFonts w:ascii="Times New Roman" w:hAnsi="Times New Roman" w:cs="Times New Roman"/>
        </w:rPr>
        <w:t>s</w:t>
      </w:r>
      <w:r w:rsidR="00C6482E" w:rsidRPr="00697D03">
        <w:rPr>
          <w:rFonts w:ascii="Times New Roman" w:hAnsi="Times New Roman" w:cs="Times New Roman"/>
        </w:rPr>
        <w:t xml:space="preserve"> crédit</w:t>
      </w:r>
      <w:r w:rsidR="00CC0250" w:rsidRPr="00697D03">
        <w:rPr>
          <w:rFonts w:ascii="Times New Roman" w:hAnsi="Times New Roman" w:cs="Times New Roman"/>
        </w:rPr>
        <w:t xml:space="preserve"> et don</w:t>
      </w:r>
      <w:r w:rsidR="00C6482E" w:rsidRPr="00697D03">
        <w:rPr>
          <w:rFonts w:ascii="Times New Roman" w:hAnsi="Times New Roman" w:cs="Times New Roman"/>
        </w:rPr>
        <w:t xml:space="preserve"> pour effectuer les paiements au titre du </w:t>
      </w:r>
      <w:r w:rsidR="00454E37" w:rsidRPr="00454E37">
        <w:rPr>
          <w:rFonts w:ascii="Times New Roman" w:hAnsi="Times New Roman" w:cs="Times New Roman"/>
          <w:b/>
          <w:bCs/>
          <w:color w:val="auto"/>
        </w:rPr>
        <w:t>Recrutement d’une ONG pour l'appui-accompagnement pour la restauration/gestion de 1 130 ha de bourgoutières dans la région de Tombouctou</w:t>
      </w:r>
      <w:r w:rsidR="003A7703" w:rsidRPr="00CB60F4">
        <w:rPr>
          <w:rFonts w:ascii="Times New Roman" w:hAnsi="Times New Roman" w:cs="Times New Roman"/>
          <w:b/>
        </w:rPr>
        <w:t>.</w:t>
      </w:r>
    </w:p>
    <w:p w14:paraId="3E8837C1" w14:textId="7674DBF7" w:rsidR="00D16B6D" w:rsidRDefault="00D16B6D" w:rsidP="00846E99">
      <w:pPr>
        <w:ind w:right="22"/>
        <w:jc w:val="both"/>
      </w:pPr>
    </w:p>
    <w:p w14:paraId="08DA89F3" w14:textId="77777777"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MUSD.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pasteurs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2688CC60" w:rsidR="00786B93" w:rsidRPr="006D1362" w:rsidRDefault="00786B93" w:rsidP="00786B93">
      <w:pPr>
        <w:jc w:val="both"/>
      </w:pPr>
      <w:r w:rsidRPr="006D1362">
        <w:rPr>
          <w:b/>
        </w:rPr>
        <w:t>Composante 3 : amélioration des chaînes de valeur du bétail</w:t>
      </w:r>
      <w:bookmarkStart w:id="0" w:name="_Toc422232228"/>
      <w:r>
        <w:rPr>
          <w:b/>
        </w:rPr>
        <w:t>.</w:t>
      </w:r>
      <w:r w:rsidRPr="006D1362">
        <w:t xml:space="preserve"> </w:t>
      </w:r>
      <w:bookmarkEnd w:id="0"/>
      <w:r w:rsidRPr="006D1362">
        <w:t xml:space="preserve">Elle s’articule autour des trois sous-composantes suivantes : (i) </w:t>
      </w:r>
      <w:r w:rsidRPr="001B618A">
        <w:t xml:space="preserve">Développement d'une </w:t>
      </w:r>
      <w:r w:rsidRPr="006D1362">
        <w:t xml:space="preserve">infrastructure </w:t>
      </w:r>
      <w:r>
        <w:t>de march</w:t>
      </w:r>
      <w:r w:rsidRPr="006D1362">
        <w:t>é</w:t>
      </w:r>
      <w:r>
        <w:t xml:space="preserve"> </w:t>
      </w:r>
      <w:r w:rsidRPr="006D1362">
        <w:t xml:space="preserve">stratégique pour le commerce </w:t>
      </w:r>
      <w:r w:rsidRPr="006D1362">
        <w:lastRenderedPageBreak/>
        <w:t>régional ; (ii) Renforcement des capacités des organisations</w:t>
      </w:r>
      <w:r w:rsidRPr="001B618A">
        <w:t xml:space="preserve"> nationales et régionales de producteurs pastoraux</w:t>
      </w:r>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1" w:name="_Toc410417058"/>
      <w:bookmarkStart w:id="2"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1"/>
      <w:bookmarkEnd w:id="2"/>
      <w:r w:rsidRPr="006D1362">
        <w:t>revenus</w:t>
      </w:r>
      <w:r w:rsidRPr="006D1362" w:rsidDel="00E663E8">
        <w:t>.</w:t>
      </w:r>
    </w:p>
    <w:p w14:paraId="3AB1DDC0" w14:textId="77777777" w:rsidR="00786B93"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5FAC979D" w14:textId="77777777" w:rsidR="006A6AFD" w:rsidRDefault="006A6AFD" w:rsidP="006A6AFD">
      <w:pPr>
        <w:contextualSpacing/>
        <w:jc w:val="both"/>
      </w:pPr>
    </w:p>
    <w:p w14:paraId="254B7B10" w14:textId="77777777" w:rsidR="0079164A" w:rsidRPr="0079164A" w:rsidRDefault="0079164A" w:rsidP="0079164A">
      <w:pPr>
        <w:pStyle w:val="Puce1DDM"/>
        <w:rPr>
          <w:rFonts w:ascii="Times New Roman" w:hAnsi="Times New Roman"/>
          <w:sz w:val="24"/>
          <w:szCs w:val="24"/>
          <w:lang w:val="fr-FR"/>
        </w:rPr>
      </w:pPr>
      <w:r w:rsidRPr="0079164A">
        <w:rPr>
          <w:rFonts w:ascii="Times New Roman" w:hAnsi="Times New Roman"/>
          <w:sz w:val="24"/>
          <w:szCs w:val="24"/>
          <w:lang w:val="fr-FR"/>
        </w:rPr>
        <w:t xml:space="preserve">Le Mali est un pays d’élevage par excellence disposant au 31 Décembre 2022 de </w:t>
      </w:r>
      <w:r w:rsidRPr="0079164A">
        <w:rPr>
          <w:rFonts w:ascii="Times New Roman" w:eastAsia="Times New Roman" w:hAnsi="Times New Roman"/>
          <w:sz w:val="24"/>
          <w:szCs w:val="24"/>
        </w:rPr>
        <w:t>13 234 158</w:t>
      </w:r>
      <w:r w:rsidRPr="0079164A">
        <w:rPr>
          <w:rFonts w:ascii="Times New Roman" w:hAnsi="Times New Roman"/>
          <w:sz w:val="24"/>
          <w:szCs w:val="24"/>
          <w:lang w:val="fr-FR"/>
        </w:rPr>
        <w:t xml:space="preserve"> bovins, </w:t>
      </w:r>
      <w:r w:rsidRPr="0079164A">
        <w:rPr>
          <w:rFonts w:ascii="Times New Roman" w:eastAsia="Times New Roman" w:hAnsi="Times New Roman"/>
          <w:sz w:val="24"/>
          <w:szCs w:val="24"/>
        </w:rPr>
        <w:t xml:space="preserve">22 207 301 </w:t>
      </w:r>
      <w:r w:rsidRPr="0079164A">
        <w:rPr>
          <w:rFonts w:ascii="Times New Roman" w:hAnsi="Times New Roman"/>
          <w:sz w:val="24"/>
          <w:szCs w:val="24"/>
          <w:lang w:val="fr-FR"/>
        </w:rPr>
        <w:t xml:space="preserve">ovins, </w:t>
      </w:r>
      <w:r w:rsidRPr="0079164A">
        <w:rPr>
          <w:rFonts w:ascii="Times New Roman" w:eastAsia="Times New Roman" w:hAnsi="Times New Roman"/>
          <w:sz w:val="24"/>
          <w:szCs w:val="24"/>
        </w:rPr>
        <w:t xml:space="preserve">30 661 134 </w:t>
      </w:r>
      <w:r w:rsidRPr="0079164A">
        <w:rPr>
          <w:rFonts w:ascii="Times New Roman" w:hAnsi="Times New Roman"/>
          <w:sz w:val="24"/>
          <w:szCs w:val="24"/>
          <w:lang w:val="fr-FR"/>
        </w:rPr>
        <w:t xml:space="preserve">caprins, </w:t>
      </w:r>
      <w:r w:rsidRPr="0079164A">
        <w:rPr>
          <w:rFonts w:ascii="Times New Roman" w:eastAsia="Times New Roman" w:hAnsi="Times New Roman"/>
          <w:sz w:val="24"/>
          <w:szCs w:val="24"/>
        </w:rPr>
        <w:t xml:space="preserve">619 942 </w:t>
      </w:r>
      <w:r w:rsidRPr="0079164A">
        <w:rPr>
          <w:rFonts w:ascii="Times New Roman" w:hAnsi="Times New Roman"/>
          <w:sz w:val="24"/>
          <w:szCs w:val="24"/>
          <w:lang w:val="fr-FR"/>
        </w:rPr>
        <w:t xml:space="preserve">équins, </w:t>
      </w:r>
      <w:r w:rsidRPr="0079164A">
        <w:rPr>
          <w:rFonts w:ascii="Times New Roman" w:eastAsia="Times New Roman" w:hAnsi="Times New Roman"/>
          <w:sz w:val="24"/>
          <w:szCs w:val="24"/>
        </w:rPr>
        <w:t xml:space="preserve">1 214 379 </w:t>
      </w:r>
      <w:r w:rsidRPr="0079164A">
        <w:rPr>
          <w:rFonts w:ascii="Times New Roman" w:hAnsi="Times New Roman"/>
          <w:sz w:val="24"/>
          <w:szCs w:val="24"/>
          <w:lang w:val="fr-FR"/>
        </w:rPr>
        <w:t xml:space="preserve">asins et </w:t>
      </w:r>
      <w:r w:rsidRPr="0079164A">
        <w:rPr>
          <w:rFonts w:ascii="Times New Roman" w:eastAsia="Times New Roman" w:hAnsi="Times New Roman"/>
          <w:sz w:val="24"/>
          <w:szCs w:val="24"/>
        </w:rPr>
        <w:t xml:space="preserve">1 317 057 </w:t>
      </w:r>
      <w:r w:rsidRPr="0079164A">
        <w:rPr>
          <w:rFonts w:ascii="Times New Roman" w:hAnsi="Times New Roman"/>
          <w:sz w:val="24"/>
          <w:szCs w:val="24"/>
          <w:lang w:val="fr-FR"/>
        </w:rPr>
        <w:t>camelins (Source rapport annuel DNPIA 2022).</w:t>
      </w:r>
    </w:p>
    <w:p w14:paraId="5BBCDE9E" w14:textId="77777777" w:rsidR="0079164A" w:rsidRPr="0079164A" w:rsidRDefault="0079164A" w:rsidP="0079164A">
      <w:pPr>
        <w:pStyle w:val="Puce1DDM"/>
        <w:rPr>
          <w:rFonts w:ascii="Times New Roman" w:hAnsi="Times New Roman"/>
          <w:sz w:val="24"/>
          <w:szCs w:val="24"/>
          <w:lang w:val="fr-FR"/>
        </w:rPr>
      </w:pPr>
      <w:r w:rsidRPr="0079164A">
        <w:rPr>
          <w:rFonts w:ascii="Times New Roman" w:hAnsi="Times New Roman"/>
          <w:sz w:val="24"/>
          <w:szCs w:val="24"/>
          <w:lang w:val="fr-FR"/>
        </w:rPr>
        <w:t xml:space="preserve"> </w:t>
      </w:r>
    </w:p>
    <w:p w14:paraId="77B52A03" w14:textId="77777777" w:rsidR="0079164A" w:rsidRPr="0079164A" w:rsidRDefault="0079164A" w:rsidP="0079164A">
      <w:pPr>
        <w:jc w:val="both"/>
        <w:rPr>
          <w:rFonts w:eastAsia="Calibri"/>
        </w:rPr>
      </w:pPr>
      <w:r w:rsidRPr="0079164A">
        <w:t>L’élevage au Mali est caractérisé par trois systèmes : l’élevage nomade, l’élevage transhumant et l’élevage sédentaire. L’élevage transhumant constitue le mode le plus répandu et se déroule à l’intérieur du pays entre les pâturages exondés et ceux inondés (bourgoutières) de la vallée du fleuve et les mares et lacs d’une part et d’autre part à l’extérieur dans les pays voisins et pays côtiers. Cet élevage est essentiellement nourri à partir des ressources pastorales naturelles.</w:t>
      </w:r>
    </w:p>
    <w:p w14:paraId="7C19B464" w14:textId="77777777" w:rsidR="0079164A" w:rsidRPr="0079164A" w:rsidRDefault="0079164A" w:rsidP="0079164A">
      <w:pPr>
        <w:pStyle w:val="Titre"/>
        <w:jc w:val="both"/>
        <w:rPr>
          <w:b w:val="0"/>
          <w:sz w:val="24"/>
          <w:szCs w:val="24"/>
          <w:lang w:val="fr-FR"/>
        </w:rPr>
      </w:pPr>
      <w:r w:rsidRPr="0079164A">
        <w:rPr>
          <w:b w:val="0"/>
          <w:sz w:val="24"/>
          <w:szCs w:val="24"/>
          <w:lang w:val="fr-FR"/>
        </w:rPr>
        <w:t>Dans le cadre de la mise en œuvre du Projet Régional d’Appui au Pastoralisme au Sahel Phase 2 au Mali (PRAPS 2-Mali), il est prévu dans la composante 2 « Gestion Durable des Paysages et Amélioration de la Gouvernance » et la sous composante 2.1 : Sécurisation de l’accès aux ressources naturelles et gestion durable des pâturages » la restauration/ gestion de 4 000 ha de bourgoutières dont 3 080 ha seront concernés par la restauration dans laquelle la région de Tombouctou est concernée par 630 ha de restauration et 500 ha de gestion (la liste des sites figure en annexe).</w:t>
      </w:r>
    </w:p>
    <w:p w14:paraId="012A518D" w14:textId="77777777" w:rsidR="0079164A" w:rsidRPr="0079164A" w:rsidRDefault="0079164A" w:rsidP="0079164A">
      <w:pPr>
        <w:pStyle w:val="Titre"/>
        <w:jc w:val="both"/>
        <w:rPr>
          <w:sz w:val="24"/>
          <w:szCs w:val="24"/>
          <w:lang w:val="fr-FR"/>
        </w:rPr>
      </w:pPr>
    </w:p>
    <w:p w14:paraId="4F872D04" w14:textId="77777777" w:rsidR="0079164A" w:rsidRPr="0079164A" w:rsidRDefault="0079164A" w:rsidP="0079164A">
      <w:pPr>
        <w:jc w:val="both"/>
      </w:pPr>
      <w:r w:rsidRPr="0079164A">
        <w:t xml:space="preserve">Le bourgou est une plante herbacée à forte productivité fourragère localisée dans les zones inondées (bourgoutières). La valeur marchande du bourgou est élevée et atteint selon la période, 150 à 500 F par botte de 3.5 à 5 kg. Sa valeur fourragère est très élevée comprise entre 0,53 à 0,63 U F/kg MS et 16 à </w:t>
      </w:r>
      <w:smartTag w:uri="urn:schemas-microsoft-com:office:smarttags" w:element="metricconverter">
        <w:smartTagPr>
          <w:attr w:name="ProductID" w:val="86 g"/>
        </w:smartTagPr>
        <w:r w:rsidRPr="0079164A">
          <w:t>86 g</w:t>
        </w:r>
      </w:smartTag>
      <w:r w:rsidRPr="0079164A">
        <w:t xml:space="preserve"> de MAD /kg MS. En effet, la valeur exceptionnelle du « bourgou » ne réside pas seulement dans sa qualité nutritive en tant que fourrage mais aussi et surtout par le rôle déterminant qu’il joue dans la régulation de l’écologie deltaïque en termes de nidation et d’alimentation des poissons, dans la fixation et la protection des berges.</w:t>
      </w:r>
    </w:p>
    <w:p w14:paraId="0FD6E566" w14:textId="77777777" w:rsidR="0079164A" w:rsidRPr="0079164A" w:rsidRDefault="0079164A" w:rsidP="0079164A">
      <w:pPr>
        <w:jc w:val="both"/>
      </w:pPr>
    </w:p>
    <w:p w14:paraId="422B2B0F" w14:textId="77777777" w:rsidR="0079164A" w:rsidRPr="0079164A" w:rsidRDefault="0079164A" w:rsidP="0079164A">
      <w:pPr>
        <w:jc w:val="both"/>
      </w:pPr>
      <w:r w:rsidRPr="0079164A">
        <w:t xml:space="preserve">La présence et l’exploitation des bourgoutières en zone inondée rythment toutes les activités économiques dans le Delta Intérieur du Niger, faisant de ce milieu la principale zone d'attraction des troupeaux, des pêcheurs et des riziculteurs de la sous-région où plus d’un million de personnes tirent leurs subsistances et revenus grâce au « bourgou ». </w:t>
      </w:r>
    </w:p>
    <w:p w14:paraId="0D1FB059" w14:textId="77777777" w:rsidR="0079164A" w:rsidRPr="0079164A" w:rsidRDefault="0079164A" w:rsidP="0079164A">
      <w:pPr>
        <w:jc w:val="both"/>
      </w:pPr>
      <w:r w:rsidRPr="0079164A">
        <w:t>Ces avantages que présente le bourgou sont compromis ces dernières années par de fortes dégradations dues aux aléas climatiques (sècheresses cycliques, faibles crues…) et aux pressions animales et humaines (surpâturage, feux incontrôlés et culture itinérante).</w:t>
      </w:r>
    </w:p>
    <w:p w14:paraId="13BD0E44" w14:textId="77777777" w:rsidR="0079164A" w:rsidRPr="0079164A" w:rsidRDefault="0079164A" w:rsidP="0079164A">
      <w:pPr>
        <w:autoSpaceDE w:val="0"/>
        <w:autoSpaceDN w:val="0"/>
        <w:adjustRightInd w:val="0"/>
        <w:jc w:val="both"/>
        <w:rPr>
          <w:rFonts w:eastAsia="Calibri"/>
        </w:rPr>
      </w:pPr>
    </w:p>
    <w:p w14:paraId="56D90890" w14:textId="77777777" w:rsidR="0079164A" w:rsidRPr="0079164A" w:rsidRDefault="0079164A" w:rsidP="0079164A">
      <w:pPr>
        <w:jc w:val="both"/>
        <w:rPr>
          <w:rFonts w:eastAsia="Calibri"/>
        </w:rPr>
      </w:pPr>
      <w:r w:rsidRPr="0079164A">
        <w:rPr>
          <w:rFonts w:eastAsia="Calibri"/>
        </w:rPr>
        <w:t>Le PRAPS inscrit son activité d’aménagement des bourgoutières afin de contribuer à une meilleure disponibilité des ressources fourragères exploitable en période de saison sèche. L’activité de restauration des bourgoutières sera assurée par la main-d’œuvre locale à travers l’approche HIMO (</w:t>
      </w:r>
      <w:r w:rsidRPr="0079164A">
        <w:t>haute intensité de main d’œuvre)</w:t>
      </w:r>
      <w:r w:rsidRPr="0079164A">
        <w:rPr>
          <w:rFonts w:eastAsia="Calibri"/>
        </w:rPr>
        <w:t xml:space="preserve">. Mais pour la réussite de l’activité et la pérennisation des acquis, les populations ont besoin d’être encadrées par une ONG locale. </w:t>
      </w:r>
    </w:p>
    <w:p w14:paraId="5F2A6F8D" w14:textId="77777777" w:rsidR="0079164A" w:rsidRPr="0079164A" w:rsidRDefault="0079164A" w:rsidP="0079164A">
      <w:pPr>
        <w:jc w:val="both"/>
        <w:rPr>
          <w:rFonts w:eastAsia="Calibri"/>
        </w:rPr>
      </w:pPr>
    </w:p>
    <w:p w14:paraId="48C62DCA" w14:textId="19F584A5" w:rsidR="002733A2" w:rsidRPr="0079164A" w:rsidRDefault="0079164A" w:rsidP="0079164A">
      <w:pPr>
        <w:pStyle w:val="Paragraphedeliste"/>
        <w:ind w:left="0"/>
        <w:jc w:val="both"/>
        <w:rPr>
          <w:rFonts w:ascii="Times New Roman" w:hAnsi="Times New Roman"/>
          <w:bCs/>
          <w:sz w:val="24"/>
          <w:szCs w:val="24"/>
        </w:rPr>
      </w:pPr>
      <w:r w:rsidRPr="0079164A">
        <w:rPr>
          <w:rFonts w:ascii="Times New Roman" w:eastAsia="Calibri" w:hAnsi="Times New Roman"/>
          <w:sz w:val="24"/>
          <w:szCs w:val="24"/>
        </w:rPr>
        <w:t>C’est dans ce cadre qu</w:t>
      </w:r>
      <w:r w:rsidRPr="0079164A">
        <w:rPr>
          <w:rFonts w:ascii="Times New Roman" w:eastAsia="Calibri" w:hAnsi="Times New Roman"/>
          <w:sz w:val="24"/>
          <w:szCs w:val="24"/>
        </w:rPr>
        <w:t>’il sera procédé au</w:t>
      </w:r>
      <w:r w:rsidRPr="0079164A">
        <w:rPr>
          <w:rFonts w:ascii="Times New Roman" w:eastAsia="Calibri" w:hAnsi="Times New Roman"/>
          <w:sz w:val="24"/>
          <w:szCs w:val="24"/>
        </w:rPr>
        <w:t xml:space="preserve"> recrute</w:t>
      </w:r>
      <w:r w:rsidRPr="0079164A">
        <w:rPr>
          <w:rFonts w:ascii="Times New Roman" w:eastAsia="Calibri" w:hAnsi="Times New Roman"/>
          <w:sz w:val="24"/>
          <w:szCs w:val="24"/>
        </w:rPr>
        <w:t>ment</w:t>
      </w:r>
      <w:r w:rsidRPr="0079164A">
        <w:rPr>
          <w:rFonts w:ascii="Times New Roman" w:eastAsia="Calibri" w:hAnsi="Times New Roman"/>
          <w:sz w:val="24"/>
          <w:szCs w:val="24"/>
        </w:rPr>
        <w:t xml:space="preserve"> </w:t>
      </w:r>
      <w:r w:rsidRPr="0079164A">
        <w:rPr>
          <w:rFonts w:ascii="Times New Roman" w:eastAsia="Calibri" w:hAnsi="Times New Roman"/>
          <w:sz w:val="24"/>
          <w:szCs w:val="24"/>
        </w:rPr>
        <w:t>d’</w:t>
      </w:r>
      <w:r w:rsidRPr="0079164A">
        <w:rPr>
          <w:rFonts w:ascii="Times New Roman" w:eastAsia="Calibri" w:hAnsi="Times New Roman"/>
          <w:sz w:val="24"/>
          <w:szCs w:val="24"/>
        </w:rPr>
        <w:t xml:space="preserve">une ONG en vue d’accompagner les populations dans la réalisation des travaux d’aménagement et aussi de gestion des bourgoutières, </w:t>
      </w:r>
      <w:r w:rsidRPr="0079164A">
        <w:rPr>
          <w:rFonts w:ascii="Times New Roman" w:hAnsi="Times New Roman"/>
          <w:sz w:val="24"/>
          <w:szCs w:val="24"/>
        </w:rPr>
        <w:t>sous la supervision de la Direction Nationale des Productions et Industries Animales (DNPIA) et ses démembrements en collaboration avec l’UCP</w:t>
      </w:r>
    </w:p>
    <w:p w14:paraId="297AFD4C" w14:textId="77777777" w:rsidR="001B35C1" w:rsidRPr="001B35C1" w:rsidRDefault="00603BF4" w:rsidP="001B35C1">
      <w:pPr>
        <w:overflowPunct w:val="0"/>
        <w:autoSpaceDE w:val="0"/>
        <w:autoSpaceDN w:val="0"/>
        <w:adjustRightInd w:val="0"/>
        <w:spacing w:before="240"/>
        <w:jc w:val="both"/>
        <w:textAlignment w:val="baseline"/>
      </w:pPr>
      <w:r w:rsidRPr="00FE5614">
        <w:t>3</w:t>
      </w:r>
      <w:r w:rsidR="00D16B6D" w:rsidRPr="00846E99">
        <w:t xml:space="preserve">. </w:t>
      </w:r>
      <w:r w:rsidR="00846E99" w:rsidRPr="00846E99">
        <w:t xml:space="preserve"> </w:t>
      </w:r>
      <w:r w:rsidR="007211CE" w:rsidRPr="001B35C1">
        <w:t>Les services de consultant (« Services ») comprennent :</w:t>
      </w:r>
    </w:p>
    <w:p w14:paraId="63F8F641" w14:textId="77777777" w:rsidR="00482119" w:rsidRPr="00482119" w:rsidRDefault="00482119" w:rsidP="00482119">
      <w:pPr>
        <w:jc w:val="both"/>
        <w:rPr>
          <w:b/>
          <w:bCs/>
        </w:rPr>
      </w:pPr>
    </w:p>
    <w:p w14:paraId="42474C04" w14:textId="77777777" w:rsidR="00581A35" w:rsidRPr="00581A35" w:rsidRDefault="00581A35" w:rsidP="00581A35">
      <w:pPr>
        <w:jc w:val="both"/>
      </w:pPr>
    </w:p>
    <w:p w14:paraId="443C1C8E"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Informer et sensibiliser les populations sur la restauration, les modalités d’exploitation et de gestion des bourgoutières et l’implication des femmes dans cette activité ;</w:t>
      </w:r>
    </w:p>
    <w:p w14:paraId="51204B07"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Assurer l’accompagnement des populations pour la réalisation des travaux en HIMO ;</w:t>
      </w:r>
    </w:p>
    <w:p w14:paraId="5EEB2468"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 xml:space="preserve">Responsabiliser les OP et les leaders villageois ou de fraction pour assurer la mobilisation des populations ; </w:t>
      </w:r>
    </w:p>
    <w:p w14:paraId="7DE093F4"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Etablir un planning de travail avec les populations ;</w:t>
      </w:r>
    </w:p>
    <w:p w14:paraId="2B98E03E"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 xml:space="preserve">Redynamiser ou mettre en place des comités de gestion dans chaque site et leur apporter l’appui-conseil nécessaire au bon fonctionnement des organes ; </w:t>
      </w:r>
    </w:p>
    <w:p w14:paraId="22DF73E1"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Accompagner la régénération ou la gestion de 2 000 ha de bourgoutières ;</w:t>
      </w:r>
    </w:p>
    <w:p w14:paraId="716D51E8"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Appuyer l’élaboration des conventions et plans de gestion participative des bourgoutières ;</w:t>
      </w:r>
    </w:p>
    <w:p w14:paraId="09EC22F3" w14:textId="77777777" w:rsidR="00581A35" w:rsidRPr="00581A35" w:rsidRDefault="00581A35" w:rsidP="00581A35">
      <w:pPr>
        <w:pStyle w:val="Paragraphedeliste"/>
        <w:numPr>
          <w:ilvl w:val="0"/>
          <w:numId w:val="50"/>
        </w:numPr>
        <w:spacing w:after="200"/>
        <w:jc w:val="both"/>
        <w:rPr>
          <w:rFonts w:ascii="Times New Roman" w:hAnsi="Times New Roman"/>
          <w:sz w:val="24"/>
          <w:szCs w:val="24"/>
        </w:rPr>
      </w:pPr>
      <w:r w:rsidRPr="00581A35">
        <w:rPr>
          <w:rFonts w:ascii="Times New Roman" w:hAnsi="Times New Roman"/>
          <w:sz w:val="24"/>
          <w:szCs w:val="24"/>
        </w:rPr>
        <w:t>Renforcer les capacités des groupes cibles impliqués dans la mise en œuvre du projet (formations techniques, information et formation sur la création et le fonctionnement des organes des OP, la gestion comptable simplifiée, la gestion des bourgoutières, la prévention et gestion des conflits) ;</w:t>
      </w:r>
    </w:p>
    <w:p w14:paraId="4AC79DFA" w14:textId="43079C33" w:rsidR="005E436C" w:rsidRDefault="00581A35" w:rsidP="00D97FBC">
      <w:pPr>
        <w:pStyle w:val="Paragraphedeliste"/>
        <w:numPr>
          <w:ilvl w:val="0"/>
          <w:numId w:val="50"/>
        </w:numPr>
        <w:spacing w:after="200"/>
        <w:ind w:right="22"/>
        <w:jc w:val="both"/>
      </w:pPr>
      <w:r w:rsidRPr="00581A35">
        <w:rPr>
          <w:rFonts w:ascii="Times New Roman" w:hAnsi="Times New Roman"/>
          <w:sz w:val="24"/>
          <w:szCs w:val="24"/>
        </w:rPr>
        <w:t>Accompagner les populations dans la réalisation des activités en collaboration avec les services techniques impliqués dans la mise en œuvre du projet ainsi que les Autorités Administratives, Coutumières et Communales</w:t>
      </w:r>
      <w:r>
        <w:rPr>
          <w:rFonts w:ascii="Times New Roman" w:hAnsi="Times New Roman"/>
          <w:sz w:val="24"/>
          <w:szCs w:val="24"/>
        </w:rPr>
        <w:t>.</w:t>
      </w:r>
    </w:p>
    <w:p w14:paraId="24DB091C" w14:textId="24C30E86" w:rsidR="00D86933" w:rsidRDefault="004204F4" w:rsidP="005E436C">
      <w:pPr>
        <w:jc w:val="both"/>
        <w:rPr>
          <w:rFonts w:ascii="Maiandra GD" w:hAnsi="Maiandra GD" w:cs="Arial"/>
        </w:rPr>
      </w:pPr>
      <w:r w:rsidRPr="004204F4">
        <w:rPr>
          <w:b/>
          <w:bCs/>
        </w:rPr>
        <w:t>Les prestations de l’ONG seront exécutées durant trois (03) années. Les travaux de régénération du bourgou et de gestion des bourgoutières sont prévus pour une durée totale de neuf (09) mois</w:t>
      </w:r>
      <w:r>
        <w:rPr>
          <w:rFonts w:ascii="Maiandra GD" w:hAnsi="Maiandra GD" w:cs="Arial"/>
        </w:rPr>
        <w:t>.</w:t>
      </w:r>
    </w:p>
    <w:p w14:paraId="29C7956A" w14:textId="77777777" w:rsidR="004204F4" w:rsidRPr="00D86933" w:rsidRDefault="004204F4" w:rsidP="005E436C">
      <w:pPr>
        <w:jc w:val="both"/>
      </w:pPr>
    </w:p>
    <w:p w14:paraId="3FDD0A38" w14:textId="77777777"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II</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04B5DAA3"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w:t>
      </w:r>
      <w:r w:rsidR="00020F0A">
        <w:t>ONG</w:t>
      </w:r>
      <w:r w:rsidR="003A44C5" w:rsidRPr="009E793F">
        <w:t xml:space="preserve">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3" w:name="_Hlk521323468"/>
      <w:r w:rsidR="00711542">
        <w:t>Règlement de Passation des Marchés pour les Emprunteurs sollicitant le Financement de Projets (FPI</w:t>
      </w:r>
      <w:bookmarkEnd w:id="3"/>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0BF4AE83" w:rsidR="003A44C5" w:rsidRDefault="00603BF4" w:rsidP="003A44C5">
      <w:pPr>
        <w:tabs>
          <w:tab w:val="left" w:pos="567"/>
        </w:tabs>
        <w:ind w:right="72"/>
        <w:jc w:val="both"/>
      </w:pPr>
      <w:r>
        <w:t>6</w:t>
      </w:r>
      <w:r w:rsidR="003A44C5">
        <w:t>.</w:t>
      </w:r>
      <w:r w:rsidR="003A44C5">
        <w:tab/>
      </w:r>
      <w:r w:rsidR="00D86933" w:rsidRPr="00223D88">
        <w:t>Un</w:t>
      </w:r>
      <w:r w:rsidR="00020F0A">
        <w:t>e</w:t>
      </w:r>
      <w:r w:rsidR="00D86933" w:rsidRPr="00223D88">
        <w:t xml:space="preserve"> </w:t>
      </w:r>
      <w:r w:rsidR="00020F0A">
        <w:t>ONG</w:t>
      </w:r>
      <w:r w:rsidR="00D86933" w:rsidRPr="00223D88">
        <w:t xml:space="preserve"> sera sélectionné</w:t>
      </w:r>
      <w:r w:rsidR="00020F0A">
        <w:t>e</w:t>
      </w:r>
      <w:r w:rsidR="00D86933" w:rsidRPr="00223D88">
        <w:t xml:space="preserve">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04A9587B"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020F0A" w:rsidRPr="00020F0A">
        <w:rPr>
          <w:rFonts w:ascii="Times New Roman" w:hAnsi="Times New Roman"/>
          <w:sz w:val="24"/>
          <w:szCs w:val="24"/>
        </w:rPr>
        <w:t>Les ONGs</w:t>
      </w:r>
      <w:r w:rsidR="00020F0A" w:rsidRPr="00223D88">
        <w:t xml:space="preserve"> </w:t>
      </w:r>
      <w:r w:rsidR="00CF1A8A" w:rsidRPr="00584E67">
        <w:rPr>
          <w:rFonts w:ascii="Times New Roman" w:hAnsi="Times New Roman"/>
          <w:sz w:val="24"/>
          <w:szCs w:val="24"/>
        </w:rPr>
        <w:t>intéressé</w:t>
      </w:r>
      <w:r w:rsidR="00020F0A">
        <w:rPr>
          <w:rFonts w:ascii="Times New Roman" w:hAnsi="Times New Roman"/>
          <w:sz w:val="24"/>
          <w:szCs w:val="24"/>
        </w:rPr>
        <w:t>e</w:t>
      </w:r>
      <w:r w:rsidR="00CF1A8A" w:rsidRPr="00584E67">
        <w:rPr>
          <w:rFonts w:ascii="Times New Roman" w:hAnsi="Times New Roman"/>
          <w:sz w:val="24"/>
          <w:szCs w:val="24"/>
        </w:rPr>
        <w:t>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19830EB4"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w:t>
      </w:r>
      <w:r w:rsidR="00FD28A5">
        <w:t>’ONG</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502BD9">
        <w:rPr>
          <w:b/>
        </w:rPr>
        <w:t>1</w:t>
      </w:r>
      <w:r w:rsidR="00C40A7F">
        <w:rPr>
          <w:b/>
        </w:rPr>
        <w:t>6</w:t>
      </w:r>
      <w:r w:rsidR="00A74133">
        <w:rPr>
          <w:b/>
        </w:rPr>
        <w:t xml:space="preserve"> Mai</w:t>
      </w:r>
      <w:r w:rsidR="00881DD5">
        <w:rPr>
          <w:b/>
        </w:rPr>
        <w:t xml:space="preserve"> </w:t>
      </w:r>
      <w:r w:rsidR="00D86933" w:rsidRPr="00D77729">
        <w:rPr>
          <w:b/>
        </w:rPr>
        <w:t>202</w:t>
      </w:r>
      <w:r w:rsidR="00A74133">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611515B4"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0E5C5D" w:rsidRPr="00454E37">
        <w:rPr>
          <w:rFonts w:ascii="Times New Roman" w:hAnsi="Times New Roman"/>
          <w:b/>
          <w:bCs/>
          <w:sz w:val="24"/>
          <w:szCs w:val="24"/>
        </w:rPr>
        <w:t xml:space="preserve">Recrutement d’une ONG pour l'appui-accompagnement pour la restauration/gestion de 1 130 ha de bourgoutières dans la région de </w:t>
      </w:r>
      <w:r w:rsidR="00020F0A" w:rsidRPr="00454E37">
        <w:rPr>
          <w:rFonts w:ascii="Times New Roman" w:hAnsi="Times New Roman"/>
          <w:b/>
          <w:bCs/>
          <w:sz w:val="24"/>
          <w:szCs w:val="24"/>
        </w:rPr>
        <w:t>Tombouctou</w:t>
      </w:r>
      <w:r w:rsidR="00020F0A"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r w:rsidR="00892EF8">
        <w:rPr>
          <w:bCs/>
        </w:rPr>
        <w:t>Ouez</w:t>
      </w:r>
      <w:r>
        <w:rPr>
          <w:bCs/>
        </w:rPr>
        <w:t>zin,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C80496">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929E4" w14:textId="77777777" w:rsidR="00C80496" w:rsidRDefault="00C80496">
      <w:r>
        <w:separator/>
      </w:r>
    </w:p>
  </w:endnote>
  <w:endnote w:type="continuationSeparator" w:id="0">
    <w:p w14:paraId="32CE9A79" w14:textId="77777777" w:rsidR="00C80496" w:rsidRDefault="00C8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81372" w14:textId="77777777" w:rsidR="00C80496" w:rsidRDefault="00C80496">
      <w:r>
        <w:separator/>
      </w:r>
    </w:p>
  </w:footnote>
  <w:footnote w:type="continuationSeparator" w:id="0">
    <w:p w14:paraId="3F8691A0" w14:textId="77777777" w:rsidR="00C80496" w:rsidRDefault="00C80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5C6E65"/>
    <w:multiLevelType w:val="hybridMultilevel"/>
    <w:tmpl w:val="3244CE8E"/>
    <w:lvl w:ilvl="0" w:tplc="040C0005">
      <w:start w:val="1"/>
      <w:numFmt w:val="bullet"/>
      <w:lvlText w:val=""/>
      <w:lvlJc w:val="left"/>
      <w:pPr>
        <w:ind w:left="1068" w:hanging="360"/>
      </w:pPr>
      <w:rPr>
        <w:rFonts w:ascii="Wingdings" w:hAnsi="Wingdings"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6"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EF5460"/>
    <w:multiLevelType w:val="hybridMultilevel"/>
    <w:tmpl w:val="DF8C910E"/>
    <w:lvl w:ilvl="0" w:tplc="5658E72C">
      <w:start w:val="1"/>
      <w:numFmt w:val="lowerLetter"/>
      <w:lvlText w:val="%1)"/>
      <w:lvlJc w:val="left"/>
      <w:pPr>
        <w:ind w:left="720" w:hanging="360"/>
      </w:pPr>
      <w:rPr>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10"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6"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05103"/>
    <w:multiLevelType w:val="hybridMultilevel"/>
    <w:tmpl w:val="2F0086A0"/>
    <w:lvl w:ilvl="0" w:tplc="E706832A">
      <w:numFmt w:val="bullet"/>
      <w:lvlText w:val="-"/>
      <w:lvlJc w:val="left"/>
      <w:pPr>
        <w:ind w:left="1080" w:hanging="360"/>
      </w:pPr>
      <w:rPr>
        <w:rFonts w:ascii="Arial" w:eastAsiaTheme="minorEastAsia"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5"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1423E3F"/>
    <w:multiLevelType w:val="multilevel"/>
    <w:tmpl w:val="63449BCC"/>
    <w:lvl w:ilvl="0">
      <w:start w:val="1"/>
      <w:numFmt w:val="upperRoman"/>
      <w:lvlText w:val="%1."/>
      <w:lvlJc w:val="right"/>
      <w:pPr>
        <w:ind w:left="720" w:hanging="360"/>
      </w:pPr>
      <w:rPr>
        <w:rFonts w:ascii="Maiandra GD" w:hAnsi="Maiandra GD" w:hint="default"/>
        <w:b/>
        <w:bCs/>
        <w:u w:val="none"/>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29"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9"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15:restartNumberingAfterBreak="0">
    <w:nsid w:val="6E883415"/>
    <w:multiLevelType w:val="hybridMultilevel"/>
    <w:tmpl w:val="861EA8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C436E75"/>
    <w:multiLevelType w:val="multilevel"/>
    <w:tmpl w:val="7626F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9"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64960418">
    <w:abstractNumId w:val="17"/>
  </w:num>
  <w:num w:numId="2" w16cid:durableId="1776825487">
    <w:abstractNumId w:val="20"/>
  </w:num>
  <w:num w:numId="3" w16cid:durableId="1218056420">
    <w:abstractNumId w:val="42"/>
  </w:num>
  <w:num w:numId="4" w16cid:durableId="1981031339">
    <w:abstractNumId w:val="7"/>
  </w:num>
  <w:num w:numId="5" w16cid:durableId="1177889135">
    <w:abstractNumId w:val="12"/>
  </w:num>
  <w:num w:numId="6" w16cid:durableId="1493908391">
    <w:abstractNumId w:val="13"/>
  </w:num>
  <w:num w:numId="7" w16cid:durableId="384523659">
    <w:abstractNumId w:val="35"/>
  </w:num>
  <w:num w:numId="8" w16cid:durableId="852188357">
    <w:abstractNumId w:val="30"/>
  </w:num>
  <w:num w:numId="9" w16cid:durableId="536894194">
    <w:abstractNumId w:val="26"/>
  </w:num>
  <w:num w:numId="10" w16cid:durableId="1200238041">
    <w:abstractNumId w:val="27"/>
  </w:num>
  <w:num w:numId="11" w16cid:durableId="283119897">
    <w:abstractNumId w:val="44"/>
  </w:num>
  <w:num w:numId="12" w16cid:durableId="1543908328">
    <w:abstractNumId w:val="43"/>
  </w:num>
  <w:num w:numId="13" w16cid:durableId="221409590">
    <w:abstractNumId w:val="32"/>
  </w:num>
  <w:num w:numId="14" w16cid:durableId="1193881665">
    <w:abstractNumId w:val="39"/>
  </w:num>
  <w:num w:numId="15" w16cid:durableId="1646080574">
    <w:abstractNumId w:val="16"/>
  </w:num>
  <w:num w:numId="16" w16cid:durableId="1358311695">
    <w:abstractNumId w:val="24"/>
  </w:num>
  <w:num w:numId="17" w16cid:durableId="1655598144">
    <w:abstractNumId w:val="4"/>
  </w:num>
  <w:num w:numId="18" w16cid:durableId="1522207497">
    <w:abstractNumId w:val="23"/>
  </w:num>
  <w:num w:numId="19" w16cid:durableId="1753815417">
    <w:abstractNumId w:val="49"/>
  </w:num>
  <w:num w:numId="20" w16cid:durableId="1629358279">
    <w:abstractNumId w:val="6"/>
  </w:num>
  <w:num w:numId="21" w16cid:durableId="1506627244">
    <w:abstractNumId w:val="31"/>
  </w:num>
  <w:num w:numId="22" w16cid:durableId="120465751">
    <w:abstractNumId w:val="1"/>
  </w:num>
  <w:num w:numId="23" w16cid:durableId="1736076806">
    <w:abstractNumId w:val="14"/>
  </w:num>
  <w:num w:numId="24" w16cid:durableId="192961723">
    <w:abstractNumId w:val="34"/>
  </w:num>
  <w:num w:numId="25" w16cid:durableId="1947274095">
    <w:abstractNumId w:val="11"/>
  </w:num>
  <w:num w:numId="26" w16cid:durableId="1091123070">
    <w:abstractNumId w:val="9"/>
  </w:num>
  <w:num w:numId="27" w16cid:durableId="1970669102">
    <w:abstractNumId w:val="33"/>
  </w:num>
  <w:num w:numId="28" w16cid:durableId="2004964613">
    <w:abstractNumId w:val="37"/>
  </w:num>
  <w:num w:numId="29" w16cid:durableId="1174613184">
    <w:abstractNumId w:val="48"/>
  </w:num>
  <w:num w:numId="30" w16cid:durableId="1794472845">
    <w:abstractNumId w:val="15"/>
  </w:num>
  <w:num w:numId="31" w16cid:durableId="315843648">
    <w:abstractNumId w:val="25"/>
  </w:num>
  <w:num w:numId="32" w16cid:durableId="648903650">
    <w:abstractNumId w:val="3"/>
  </w:num>
  <w:num w:numId="33" w16cid:durableId="554589259">
    <w:abstractNumId w:val="2"/>
  </w:num>
  <w:num w:numId="34" w16cid:durableId="933830499">
    <w:abstractNumId w:val="46"/>
  </w:num>
  <w:num w:numId="35" w16cid:durableId="14814590">
    <w:abstractNumId w:val="38"/>
  </w:num>
  <w:num w:numId="36" w16cid:durableId="672151686">
    <w:abstractNumId w:val="29"/>
  </w:num>
  <w:num w:numId="37" w16cid:durableId="1858345212">
    <w:abstractNumId w:val="45"/>
  </w:num>
  <w:num w:numId="38" w16cid:durableId="1091967895">
    <w:abstractNumId w:val="0"/>
  </w:num>
  <w:num w:numId="39" w16cid:durableId="1694771122">
    <w:abstractNumId w:val="36"/>
  </w:num>
  <w:num w:numId="40" w16cid:durableId="1530873087">
    <w:abstractNumId w:val="41"/>
  </w:num>
  <w:num w:numId="41" w16cid:durableId="1101491242">
    <w:abstractNumId w:val="18"/>
  </w:num>
  <w:num w:numId="42" w16cid:durableId="176966770">
    <w:abstractNumId w:val="21"/>
  </w:num>
  <w:num w:numId="43" w16cid:durableId="2012246377">
    <w:abstractNumId w:val="19"/>
  </w:num>
  <w:num w:numId="44" w16cid:durableId="630865728">
    <w:abstractNumId w:val="10"/>
  </w:num>
  <w:num w:numId="45" w16cid:durableId="1343318557">
    <w:abstractNumId w:val="22"/>
  </w:num>
  <w:num w:numId="46" w16cid:durableId="1785534026">
    <w:abstractNumId w:val="5"/>
  </w:num>
  <w:num w:numId="47" w16cid:durableId="309217922">
    <w:abstractNumId w:val="28"/>
  </w:num>
  <w:num w:numId="48" w16cid:durableId="1225338328">
    <w:abstractNumId w:val="8"/>
  </w:num>
  <w:num w:numId="49" w16cid:durableId="2096852909">
    <w:abstractNumId w:val="47"/>
  </w:num>
  <w:num w:numId="50" w16cid:durableId="146495731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0F0A"/>
    <w:rsid w:val="00023CD9"/>
    <w:rsid w:val="000247F5"/>
    <w:rsid w:val="00040981"/>
    <w:rsid w:val="00041831"/>
    <w:rsid w:val="000425D3"/>
    <w:rsid w:val="00053397"/>
    <w:rsid w:val="00062E19"/>
    <w:rsid w:val="000830CD"/>
    <w:rsid w:val="00087312"/>
    <w:rsid w:val="000975B1"/>
    <w:rsid w:val="000A6232"/>
    <w:rsid w:val="000A78CA"/>
    <w:rsid w:val="000C3729"/>
    <w:rsid w:val="000C7FE5"/>
    <w:rsid w:val="000E5C5D"/>
    <w:rsid w:val="000E7B3B"/>
    <w:rsid w:val="00112D9C"/>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35C1"/>
    <w:rsid w:val="001B7BAF"/>
    <w:rsid w:val="001C1900"/>
    <w:rsid w:val="001C4E02"/>
    <w:rsid w:val="001D3EE1"/>
    <w:rsid w:val="001E0292"/>
    <w:rsid w:val="001E1489"/>
    <w:rsid w:val="001E631B"/>
    <w:rsid w:val="001F5D53"/>
    <w:rsid w:val="0020203B"/>
    <w:rsid w:val="002169A9"/>
    <w:rsid w:val="00223E9F"/>
    <w:rsid w:val="00233274"/>
    <w:rsid w:val="00264CD6"/>
    <w:rsid w:val="00270BA4"/>
    <w:rsid w:val="00272788"/>
    <w:rsid w:val="002733A2"/>
    <w:rsid w:val="0028291E"/>
    <w:rsid w:val="002877A9"/>
    <w:rsid w:val="002938CA"/>
    <w:rsid w:val="002A3136"/>
    <w:rsid w:val="002A668B"/>
    <w:rsid w:val="002A7D9D"/>
    <w:rsid w:val="002C2405"/>
    <w:rsid w:val="002C308B"/>
    <w:rsid w:val="002D1929"/>
    <w:rsid w:val="002D3FF9"/>
    <w:rsid w:val="002E4E89"/>
    <w:rsid w:val="003055AB"/>
    <w:rsid w:val="0031183A"/>
    <w:rsid w:val="003317BD"/>
    <w:rsid w:val="00332B59"/>
    <w:rsid w:val="00343C6E"/>
    <w:rsid w:val="003517E7"/>
    <w:rsid w:val="00355E8E"/>
    <w:rsid w:val="003645DC"/>
    <w:rsid w:val="003650F1"/>
    <w:rsid w:val="00386927"/>
    <w:rsid w:val="00396836"/>
    <w:rsid w:val="003A44C5"/>
    <w:rsid w:val="003A7703"/>
    <w:rsid w:val="003B43E9"/>
    <w:rsid w:val="003B4F69"/>
    <w:rsid w:val="003C1DEB"/>
    <w:rsid w:val="00405EE1"/>
    <w:rsid w:val="00411465"/>
    <w:rsid w:val="00413ED1"/>
    <w:rsid w:val="004204F4"/>
    <w:rsid w:val="00433EED"/>
    <w:rsid w:val="00434EDE"/>
    <w:rsid w:val="00440A3A"/>
    <w:rsid w:val="00454E37"/>
    <w:rsid w:val="00456B0F"/>
    <w:rsid w:val="0045701F"/>
    <w:rsid w:val="004641EE"/>
    <w:rsid w:val="00474B71"/>
    <w:rsid w:val="00482119"/>
    <w:rsid w:val="0048417E"/>
    <w:rsid w:val="00485BC4"/>
    <w:rsid w:val="00486988"/>
    <w:rsid w:val="004962ED"/>
    <w:rsid w:val="004A3A7D"/>
    <w:rsid w:val="004A4E63"/>
    <w:rsid w:val="004B16CA"/>
    <w:rsid w:val="004B2159"/>
    <w:rsid w:val="004B27EF"/>
    <w:rsid w:val="004C04A3"/>
    <w:rsid w:val="004C09F6"/>
    <w:rsid w:val="004C1FC7"/>
    <w:rsid w:val="004D460A"/>
    <w:rsid w:val="004E494C"/>
    <w:rsid w:val="004E713B"/>
    <w:rsid w:val="00502BD9"/>
    <w:rsid w:val="005105F2"/>
    <w:rsid w:val="00527775"/>
    <w:rsid w:val="00530D08"/>
    <w:rsid w:val="00562F97"/>
    <w:rsid w:val="00563A66"/>
    <w:rsid w:val="00565827"/>
    <w:rsid w:val="00570119"/>
    <w:rsid w:val="00573CC5"/>
    <w:rsid w:val="00574F9B"/>
    <w:rsid w:val="00580767"/>
    <w:rsid w:val="00581A35"/>
    <w:rsid w:val="00584E67"/>
    <w:rsid w:val="00585236"/>
    <w:rsid w:val="005861CA"/>
    <w:rsid w:val="005958F7"/>
    <w:rsid w:val="00596D28"/>
    <w:rsid w:val="005A6FDD"/>
    <w:rsid w:val="005B1583"/>
    <w:rsid w:val="005B7DC0"/>
    <w:rsid w:val="005D269B"/>
    <w:rsid w:val="005D6A77"/>
    <w:rsid w:val="005E436C"/>
    <w:rsid w:val="005E5F9D"/>
    <w:rsid w:val="005F7F60"/>
    <w:rsid w:val="00601FE9"/>
    <w:rsid w:val="00603BF4"/>
    <w:rsid w:val="00603D07"/>
    <w:rsid w:val="00623342"/>
    <w:rsid w:val="00624AE5"/>
    <w:rsid w:val="006257EF"/>
    <w:rsid w:val="006424EB"/>
    <w:rsid w:val="00650B67"/>
    <w:rsid w:val="00651C9E"/>
    <w:rsid w:val="00663C4A"/>
    <w:rsid w:val="00667220"/>
    <w:rsid w:val="00670B3D"/>
    <w:rsid w:val="00670F44"/>
    <w:rsid w:val="006824E1"/>
    <w:rsid w:val="00686CF8"/>
    <w:rsid w:val="00695476"/>
    <w:rsid w:val="00695875"/>
    <w:rsid w:val="0069605E"/>
    <w:rsid w:val="006972C5"/>
    <w:rsid w:val="00697D03"/>
    <w:rsid w:val="006A107C"/>
    <w:rsid w:val="006A4201"/>
    <w:rsid w:val="006A6AFD"/>
    <w:rsid w:val="006C004B"/>
    <w:rsid w:val="006C2341"/>
    <w:rsid w:val="006C4A0D"/>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32DD7"/>
    <w:rsid w:val="0073472E"/>
    <w:rsid w:val="00740C00"/>
    <w:rsid w:val="00744F1C"/>
    <w:rsid w:val="00757F2D"/>
    <w:rsid w:val="00765860"/>
    <w:rsid w:val="00766BE1"/>
    <w:rsid w:val="00777071"/>
    <w:rsid w:val="0078258E"/>
    <w:rsid w:val="00782754"/>
    <w:rsid w:val="0078480D"/>
    <w:rsid w:val="00784E0F"/>
    <w:rsid w:val="00786B93"/>
    <w:rsid w:val="0079164A"/>
    <w:rsid w:val="007A230B"/>
    <w:rsid w:val="007B6CC6"/>
    <w:rsid w:val="007C3606"/>
    <w:rsid w:val="007D166C"/>
    <w:rsid w:val="007E004F"/>
    <w:rsid w:val="007E09F3"/>
    <w:rsid w:val="007F1E4E"/>
    <w:rsid w:val="007F7115"/>
    <w:rsid w:val="00804D28"/>
    <w:rsid w:val="00807101"/>
    <w:rsid w:val="008146A3"/>
    <w:rsid w:val="00820199"/>
    <w:rsid w:val="008447B6"/>
    <w:rsid w:val="00846E99"/>
    <w:rsid w:val="008508CE"/>
    <w:rsid w:val="00855050"/>
    <w:rsid w:val="0086125E"/>
    <w:rsid w:val="00861535"/>
    <w:rsid w:val="008619B7"/>
    <w:rsid w:val="0086659E"/>
    <w:rsid w:val="00874F85"/>
    <w:rsid w:val="00881DD5"/>
    <w:rsid w:val="00892EF8"/>
    <w:rsid w:val="008A1A55"/>
    <w:rsid w:val="008A34D3"/>
    <w:rsid w:val="008A49BE"/>
    <w:rsid w:val="008A56D1"/>
    <w:rsid w:val="008B14D0"/>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2F67"/>
    <w:rsid w:val="009260A6"/>
    <w:rsid w:val="0093654A"/>
    <w:rsid w:val="00950DD6"/>
    <w:rsid w:val="00972B23"/>
    <w:rsid w:val="00975008"/>
    <w:rsid w:val="00977BD7"/>
    <w:rsid w:val="0098584E"/>
    <w:rsid w:val="00991C85"/>
    <w:rsid w:val="009A0C15"/>
    <w:rsid w:val="009A7A2F"/>
    <w:rsid w:val="009B72DC"/>
    <w:rsid w:val="009B7874"/>
    <w:rsid w:val="009C2EB9"/>
    <w:rsid w:val="009D31EE"/>
    <w:rsid w:val="009D4555"/>
    <w:rsid w:val="009E31B0"/>
    <w:rsid w:val="009E793F"/>
    <w:rsid w:val="00A10016"/>
    <w:rsid w:val="00A12488"/>
    <w:rsid w:val="00A1357C"/>
    <w:rsid w:val="00A150E7"/>
    <w:rsid w:val="00A17377"/>
    <w:rsid w:val="00A17A8D"/>
    <w:rsid w:val="00A2403C"/>
    <w:rsid w:val="00A3293D"/>
    <w:rsid w:val="00A33AD1"/>
    <w:rsid w:val="00A362DB"/>
    <w:rsid w:val="00A4736E"/>
    <w:rsid w:val="00A54D88"/>
    <w:rsid w:val="00A607E6"/>
    <w:rsid w:val="00A61CEF"/>
    <w:rsid w:val="00A6644B"/>
    <w:rsid w:val="00A740B1"/>
    <w:rsid w:val="00A74133"/>
    <w:rsid w:val="00A7518E"/>
    <w:rsid w:val="00A77195"/>
    <w:rsid w:val="00A77876"/>
    <w:rsid w:val="00A8735C"/>
    <w:rsid w:val="00A959AF"/>
    <w:rsid w:val="00AA19B2"/>
    <w:rsid w:val="00AB4FC4"/>
    <w:rsid w:val="00AC0984"/>
    <w:rsid w:val="00AD0EEC"/>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404D3"/>
    <w:rsid w:val="00C40A7F"/>
    <w:rsid w:val="00C41D44"/>
    <w:rsid w:val="00C432FC"/>
    <w:rsid w:val="00C46072"/>
    <w:rsid w:val="00C471C1"/>
    <w:rsid w:val="00C55805"/>
    <w:rsid w:val="00C6482E"/>
    <w:rsid w:val="00C64FA0"/>
    <w:rsid w:val="00C65698"/>
    <w:rsid w:val="00C73B07"/>
    <w:rsid w:val="00C74196"/>
    <w:rsid w:val="00C7495E"/>
    <w:rsid w:val="00C761EE"/>
    <w:rsid w:val="00C770E8"/>
    <w:rsid w:val="00C80496"/>
    <w:rsid w:val="00C81096"/>
    <w:rsid w:val="00C84599"/>
    <w:rsid w:val="00C9772A"/>
    <w:rsid w:val="00CA6833"/>
    <w:rsid w:val="00CA7F9D"/>
    <w:rsid w:val="00CB1099"/>
    <w:rsid w:val="00CB1C38"/>
    <w:rsid w:val="00CB5C1B"/>
    <w:rsid w:val="00CB60F4"/>
    <w:rsid w:val="00CC0250"/>
    <w:rsid w:val="00CD02A1"/>
    <w:rsid w:val="00CD193C"/>
    <w:rsid w:val="00CD4380"/>
    <w:rsid w:val="00CD4541"/>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7756"/>
    <w:rsid w:val="00D82A75"/>
    <w:rsid w:val="00D85B0D"/>
    <w:rsid w:val="00D86933"/>
    <w:rsid w:val="00DA200C"/>
    <w:rsid w:val="00DA5119"/>
    <w:rsid w:val="00DA6BDD"/>
    <w:rsid w:val="00DA7476"/>
    <w:rsid w:val="00DB1292"/>
    <w:rsid w:val="00DC07C5"/>
    <w:rsid w:val="00DC4353"/>
    <w:rsid w:val="00DD0BAA"/>
    <w:rsid w:val="00DD1865"/>
    <w:rsid w:val="00DD3DF2"/>
    <w:rsid w:val="00DD61BC"/>
    <w:rsid w:val="00DE5E3D"/>
    <w:rsid w:val="00DE6919"/>
    <w:rsid w:val="00DF43A7"/>
    <w:rsid w:val="00DF6ED3"/>
    <w:rsid w:val="00DF77C4"/>
    <w:rsid w:val="00E019C0"/>
    <w:rsid w:val="00E07E34"/>
    <w:rsid w:val="00E14AE6"/>
    <w:rsid w:val="00E15A0C"/>
    <w:rsid w:val="00E22E2E"/>
    <w:rsid w:val="00E2447A"/>
    <w:rsid w:val="00E337C7"/>
    <w:rsid w:val="00E41D02"/>
    <w:rsid w:val="00E43DFA"/>
    <w:rsid w:val="00E51737"/>
    <w:rsid w:val="00E53C75"/>
    <w:rsid w:val="00E56A3F"/>
    <w:rsid w:val="00E605F1"/>
    <w:rsid w:val="00E6332F"/>
    <w:rsid w:val="00E63538"/>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161E"/>
    <w:rsid w:val="00F154E0"/>
    <w:rsid w:val="00F36E0E"/>
    <w:rsid w:val="00F425CB"/>
    <w:rsid w:val="00F526F0"/>
    <w:rsid w:val="00F54FE7"/>
    <w:rsid w:val="00F56D3C"/>
    <w:rsid w:val="00F636FF"/>
    <w:rsid w:val="00F64C87"/>
    <w:rsid w:val="00F67AF5"/>
    <w:rsid w:val="00F70E95"/>
    <w:rsid w:val="00F71FB7"/>
    <w:rsid w:val="00F778B3"/>
    <w:rsid w:val="00F820F9"/>
    <w:rsid w:val="00F84418"/>
    <w:rsid w:val="00F87C14"/>
    <w:rsid w:val="00FB448B"/>
    <w:rsid w:val="00FC52A0"/>
    <w:rsid w:val="00FD16D7"/>
    <w:rsid w:val="00FD1E5D"/>
    <w:rsid w:val="00FD28A5"/>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 w:type="paragraph" w:customStyle="1" w:styleId="Default">
    <w:name w:val="Default"/>
    <w:rsid w:val="00A8735C"/>
    <w:pPr>
      <w:autoSpaceDE w:val="0"/>
      <w:autoSpaceDN w:val="0"/>
      <w:adjustRightInd w:val="0"/>
    </w:pPr>
    <w:rPr>
      <w:rFonts w:cs="Calibri"/>
      <w:color w:val="000000"/>
      <w:sz w:val="24"/>
      <w:szCs w:val="24"/>
      <w:lang w:eastAsia="en-US"/>
    </w:rPr>
  </w:style>
  <w:style w:type="paragraph" w:customStyle="1" w:styleId="Puce1DDM">
    <w:name w:val="Puce 1 DDM"/>
    <w:basedOn w:val="Normal"/>
    <w:qFormat/>
    <w:rsid w:val="006A6AFD"/>
    <w:pPr>
      <w:spacing w:before="40"/>
      <w:jc w:val="both"/>
    </w:pPr>
    <w:rPr>
      <w:rFonts w:ascii="Calibri" w:eastAsia="MS Mincho" w:hAnsi="Calibri"/>
      <w:sz w:val="22"/>
      <w:szCs w:val="22"/>
      <w:lang w:val="fr-CA"/>
    </w:rPr>
  </w:style>
  <w:style w:type="paragraph" w:customStyle="1" w:styleId="BankNormal">
    <w:name w:val="BankNormal"/>
    <w:basedOn w:val="Normal"/>
    <w:rsid w:val="0079164A"/>
    <w:pPr>
      <w:spacing w:after="240"/>
    </w:pPr>
    <w:rPr>
      <w:szCs w:val="20"/>
      <w:lang w:eastAsia="en-US"/>
    </w:rPr>
  </w:style>
  <w:style w:type="paragraph" w:styleId="Titre">
    <w:name w:val="Title"/>
    <w:basedOn w:val="Normal"/>
    <w:link w:val="TitreCar"/>
    <w:qFormat/>
    <w:rsid w:val="0079164A"/>
    <w:pPr>
      <w:tabs>
        <w:tab w:val="right" w:leader="dot" w:pos="8640"/>
      </w:tabs>
      <w:jc w:val="center"/>
    </w:pPr>
    <w:rPr>
      <w:b/>
      <w:sz w:val="36"/>
      <w:szCs w:val="20"/>
      <w:lang w:val="en-US" w:eastAsia="en-US"/>
    </w:rPr>
  </w:style>
  <w:style w:type="character" w:customStyle="1" w:styleId="TitreCar">
    <w:name w:val="Titre Car"/>
    <w:basedOn w:val="Policepardfaut"/>
    <w:link w:val="Titre"/>
    <w:rsid w:val="0079164A"/>
    <w:rPr>
      <w:rFonts w:ascii="Times New Roman" w:eastAsia="Times New Roman" w:hAnsi="Times New Roman"/>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 w:id="9714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1743</Words>
  <Characters>9590</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16</cp:revision>
  <cp:lastPrinted>2021-04-16T12:20:00Z</cp:lastPrinted>
  <dcterms:created xsi:type="dcterms:W3CDTF">2024-04-17T14:56:00Z</dcterms:created>
  <dcterms:modified xsi:type="dcterms:W3CDTF">2024-04-17T15:08:00Z</dcterms:modified>
</cp:coreProperties>
</file>