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6355A" w14:textId="63D30D05" w:rsidR="003E4D60" w:rsidRPr="00901AA4" w:rsidRDefault="003E4D60" w:rsidP="003E4D60">
      <w:pPr>
        <w:ind w:left="-284" w:firstLine="284"/>
        <w:jc w:val="both"/>
        <w:rPr>
          <w:b/>
          <w:szCs w:val="24"/>
          <w:lang w:val="fr-FR"/>
        </w:rPr>
      </w:pPr>
      <w:r w:rsidRPr="00901AA4">
        <w:rPr>
          <w:b/>
          <w:szCs w:val="24"/>
          <w:lang w:val="fr-FR"/>
        </w:rPr>
        <w:t>PRÉSIDENCE DE LA RÉPUBLIQUE</w:t>
      </w:r>
      <w:r w:rsidRPr="00901AA4">
        <w:rPr>
          <w:b/>
          <w:szCs w:val="24"/>
          <w:lang w:val="fr-FR"/>
        </w:rPr>
        <w:tab/>
      </w:r>
      <w:r w:rsidRPr="00901AA4">
        <w:rPr>
          <w:b/>
          <w:szCs w:val="24"/>
          <w:lang w:val="fr-FR"/>
        </w:rPr>
        <w:tab/>
        <w:t xml:space="preserve">    REPUBLIQUE DU MALI </w:t>
      </w:r>
    </w:p>
    <w:p w14:paraId="7019B162" w14:textId="32A76B02" w:rsidR="003E4D60" w:rsidRPr="00901AA4" w:rsidRDefault="003E4D60" w:rsidP="003E4D60">
      <w:pPr>
        <w:ind w:left="142" w:hanging="142"/>
        <w:jc w:val="both"/>
        <w:rPr>
          <w:b/>
          <w:szCs w:val="24"/>
          <w:lang w:val="fr-FR"/>
        </w:rPr>
      </w:pPr>
      <w:r w:rsidRPr="00901AA4">
        <w:rPr>
          <w:b/>
          <w:szCs w:val="24"/>
          <w:lang w:val="fr-FR"/>
        </w:rPr>
        <w:t xml:space="preserve">                    </w:t>
      </w:r>
      <w:r w:rsidRPr="00901AA4">
        <w:rPr>
          <w:b/>
          <w:szCs w:val="24"/>
          <w:lang w:val="fr-CA"/>
        </w:rPr>
        <w:t>==========</w:t>
      </w:r>
      <w:r w:rsidRPr="00901AA4">
        <w:rPr>
          <w:b/>
          <w:szCs w:val="24"/>
          <w:lang w:val="fr-CA"/>
        </w:rPr>
        <w:tab/>
      </w:r>
      <w:r w:rsidRPr="00901AA4">
        <w:rPr>
          <w:b/>
          <w:szCs w:val="24"/>
          <w:lang w:val="fr-CA"/>
        </w:rPr>
        <w:tab/>
      </w:r>
      <w:r w:rsidRPr="00901AA4">
        <w:rPr>
          <w:b/>
          <w:szCs w:val="24"/>
          <w:lang w:val="fr-CA"/>
        </w:rPr>
        <w:tab/>
      </w:r>
      <w:r w:rsidRPr="00901AA4">
        <w:rPr>
          <w:b/>
          <w:szCs w:val="24"/>
          <w:lang w:val="fr-CA"/>
        </w:rPr>
        <w:tab/>
      </w:r>
      <w:r w:rsidRPr="00901AA4">
        <w:rPr>
          <w:b/>
          <w:i/>
          <w:szCs w:val="24"/>
          <w:lang w:val="fr-FR"/>
        </w:rPr>
        <w:t>Un Peuple – Un But – Une Foi</w:t>
      </w:r>
      <w:r w:rsidRPr="00901AA4">
        <w:rPr>
          <w:b/>
          <w:szCs w:val="24"/>
          <w:lang w:val="fr-FR"/>
        </w:rPr>
        <w:t xml:space="preserve">           </w:t>
      </w:r>
      <w:r w:rsidRPr="00901AA4">
        <w:rPr>
          <w:b/>
          <w:szCs w:val="24"/>
          <w:lang w:val="fr-CA"/>
        </w:rPr>
        <w:t xml:space="preserve">                                                                                                      </w:t>
      </w:r>
    </w:p>
    <w:p w14:paraId="24B6E7D3" w14:textId="77777777" w:rsidR="003E4D60" w:rsidRPr="00901AA4" w:rsidRDefault="003E4D60" w:rsidP="003E4D60">
      <w:pPr>
        <w:ind w:left="142" w:hanging="142"/>
        <w:jc w:val="both"/>
        <w:rPr>
          <w:b/>
          <w:szCs w:val="24"/>
          <w:lang w:val="fr-FR"/>
        </w:rPr>
      </w:pPr>
      <w:r w:rsidRPr="00901AA4">
        <w:rPr>
          <w:b/>
          <w:szCs w:val="24"/>
          <w:lang w:val="fr-FR"/>
        </w:rPr>
        <w:t>COMMISSARIAT A LA SÉCURITÉ</w:t>
      </w:r>
      <w:r w:rsidRPr="00901AA4">
        <w:rPr>
          <w:b/>
          <w:szCs w:val="24"/>
          <w:lang w:val="fr-FR"/>
        </w:rPr>
        <w:tab/>
      </w:r>
      <w:r w:rsidRPr="00901AA4">
        <w:rPr>
          <w:b/>
          <w:szCs w:val="24"/>
          <w:lang w:val="fr-FR"/>
        </w:rPr>
        <w:tab/>
      </w:r>
      <w:r w:rsidRPr="00901AA4">
        <w:rPr>
          <w:b/>
          <w:szCs w:val="24"/>
          <w:lang w:val="fr-FR"/>
        </w:rPr>
        <w:tab/>
      </w:r>
      <w:r w:rsidRPr="00901AA4">
        <w:rPr>
          <w:b/>
          <w:szCs w:val="24"/>
          <w:lang w:val="fr-FR"/>
        </w:rPr>
        <w:tab/>
        <w:t xml:space="preserve">==========                                          </w:t>
      </w:r>
    </w:p>
    <w:p w14:paraId="17E860CC" w14:textId="77777777" w:rsidR="003E4D60" w:rsidRPr="00901AA4" w:rsidRDefault="003E4D60" w:rsidP="003E4D60">
      <w:pPr>
        <w:tabs>
          <w:tab w:val="left" w:pos="8161"/>
        </w:tabs>
        <w:ind w:left="850"/>
        <w:jc w:val="both"/>
        <w:rPr>
          <w:b/>
          <w:szCs w:val="24"/>
          <w:lang w:val="fr-CA"/>
        </w:rPr>
      </w:pPr>
      <w:r w:rsidRPr="00901AA4">
        <w:rPr>
          <w:b/>
          <w:szCs w:val="24"/>
          <w:lang w:val="fr-CA"/>
        </w:rPr>
        <w:t xml:space="preserve">  ALIMENTAIRE                                                                                                                                                                                         </w:t>
      </w:r>
    </w:p>
    <w:p w14:paraId="48D62F1A" w14:textId="77777777" w:rsidR="003E4D60" w:rsidRPr="00901AA4" w:rsidRDefault="003E4D60" w:rsidP="003E4D60">
      <w:pPr>
        <w:tabs>
          <w:tab w:val="left" w:pos="8161"/>
        </w:tabs>
        <w:jc w:val="both"/>
        <w:rPr>
          <w:b/>
          <w:szCs w:val="24"/>
          <w:lang w:val="fr-CA"/>
        </w:rPr>
      </w:pPr>
      <w:r w:rsidRPr="00901AA4">
        <w:rPr>
          <w:b/>
          <w:szCs w:val="24"/>
          <w:lang w:val="fr-CA"/>
        </w:rPr>
        <w:t xml:space="preserve">                    ==========   </w:t>
      </w:r>
    </w:p>
    <w:p w14:paraId="5BD9CCBD" w14:textId="77777777" w:rsidR="003E4D60" w:rsidRPr="00901AA4" w:rsidRDefault="003E4D60" w:rsidP="003E4D60">
      <w:pPr>
        <w:tabs>
          <w:tab w:val="left" w:pos="8161"/>
        </w:tabs>
        <w:jc w:val="both"/>
        <w:rPr>
          <w:b/>
          <w:szCs w:val="24"/>
          <w:lang w:val="fr-CA"/>
        </w:rPr>
      </w:pPr>
    </w:p>
    <w:p w14:paraId="4D9055C3" w14:textId="77777777" w:rsidR="003E4D60" w:rsidRPr="00901AA4" w:rsidRDefault="003E4D60" w:rsidP="003E4D60">
      <w:pPr>
        <w:tabs>
          <w:tab w:val="left" w:pos="8161"/>
        </w:tabs>
        <w:jc w:val="center"/>
        <w:rPr>
          <w:b/>
          <w:szCs w:val="24"/>
          <w:lang w:val="fr-CA"/>
        </w:rPr>
      </w:pPr>
      <w:r w:rsidRPr="00901AA4">
        <w:rPr>
          <w:b/>
          <w:szCs w:val="24"/>
          <w:lang w:val="fr-CA"/>
        </w:rPr>
        <w:t>INITIATIVE PRESIDENTIELLLE</w:t>
      </w:r>
    </w:p>
    <w:p w14:paraId="3536F148" w14:textId="77777777" w:rsidR="003E4D60" w:rsidRPr="00901AA4" w:rsidRDefault="003E4D60" w:rsidP="003E4D60">
      <w:pPr>
        <w:tabs>
          <w:tab w:val="left" w:pos="8161"/>
        </w:tabs>
        <w:jc w:val="center"/>
        <w:rPr>
          <w:b/>
          <w:szCs w:val="24"/>
          <w:lang w:val="fr-CA"/>
        </w:rPr>
      </w:pPr>
      <w:r w:rsidRPr="00901AA4">
        <w:rPr>
          <w:b/>
          <w:szCs w:val="24"/>
          <w:lang w:val="fr-CA"/>
        </w:rPr>
        <w:t>BRIGADE VERTE POUR L’EMPLOI ET L’ENVIRONNEMENT (PBVE)</w:t>
      </w:r>
    </w:p>
    <w:p w14:paraId="17D33006" w14:textId="77777777" w:rsidR="003E4D60" w:rsidRPr="00901AA4" w:rsidRDefault="003E4D60" w:rsidP="003E4D60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fr-CA" w:eastAsia="fr-FR"/>
        </w:rPr>
      </w:pPr>
    </w:p>
    <w:p w14:paraId="1BE619FE" w14:textId="77777777" w:rsidR="003E4D60" w:rsidRPr="00901AA4" w:rsidRDefault="003E4D60" w:rsidP="003E4D60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fr-CA" w:eastAsia="fr-FR"/>
        </w:rPr>
      </w:pPr>
      <w:r w:rsidRPr="00901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fr-CA" w:eastAsia="fr-FR"/>
        </w:rPr>
        <w:t>PROJET D’AMÉNAGEMENT DE 3000 HA DANS LES RÉGIONS DE KAYES ET NIORO DU SAHEL</w:t>
      </w:r>
    </w:p>
    <w:p w14:paraId="76E155F1" w14:textId="77777777" w:rsidR="003E4D60" w:rsidRPr="00901AA4" w:rsidRDefault="003E4D60" w:rsidP="003E4D60">
      <w:pPr>
        <w:pStyle w:val="Sansinterlig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</w:pPr>
    </w:p>
    <w:p w14:paraId="3DAAF816" w14:textId="7DB81CAC" w:rsidR="003E4D60" w:rsidRPr="00901AA4" w:rsidRDefault="003E4D60" w:rsidP="003E4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pacing w:val="-2"/>
          <w:szCs w:val="24"/>
          <w:lang w:val="fr-FR"/>
        </w:rPr>
      </w:pPr>
      <w:r w:rsidRPr="00901AA4">
        <w:rPr>
          <w:b/>
          <w:szCs w:val="24"/>
          <w:lang w:val="fr-FR"/>
        </w:rPr>
        <w:t>SOLLICITATION DE MANIFESTATION D’INTERET</w:t>
      </w:r>
      <w:r w:rsidRPr="00901AA4">
        <w:rPr>
          <w:szCs w:val="24"/>
          <w:lang w:val="fr-FR"/>
        </w:rPr>
        <w:t xml:space="preserve"> </w:t>
      </w:r>
      <w:r w:rsidRPr="00901AA4">
        <w:rPr>
          <w:b/>
          <w:szCs w:val="24"/>
          <w:lang w:val="fr-FR"/>
        </w:rPr>
        <w:t>N°03/CSA-PBVE/202</w:t>
      </w:r>
      <w:r w:rsidR="00C42FAF" w:rsidRPr="00901AA4">
        <w:rPr>
          <w:b/>
          <w:szCs w:val="24"/>
          <w:lang w:val="fr-FR"/>
        </w:rPr>
        <w:t>4</w:t>
      </w:r>
      <w:r w:rsidRPr="00901AA4">
        <w:rPr>
          <w:szCs w:val="24"/>
          <w:lang w:val="fr-FR"/>
        </w:rPr>
        <w:t xml:space="preserve"> </w:t>
      </w:r>
      <w:r w:rsidRPr="00901AA4">
        <w:rPr>
          <w:b/>
          <w:caps/>
          <w:spacing w:val="-2"/>
          <w:szCs w:val="24"/>
          <w:lang w:val="fr-FR"/>
        </w:rPr>
        <w:t>pour la realisation DE</w:t>
      </w:r>
      <w:r w:rsidR="00C42FAF" w:rsidRPr="00901AA4">
        <w:rPr>
          <w:b/>
          <w:caps/>
          <w:spacing w:val="-2"/>
          <w:szCs w:val="24"/>
          <w:lang w:val="fr-FR"/>
        </w:rPr>
        <w:t xml:space="preserve"> L’AUDIT</w:t>
      </w:r>
      <w:r w:rsidR="00573899">
        <w:rPr>
          <w:b/>
          <w:caps/>
          <w:spacing w:val="-2"/>
          <w:szCs w:val="24"/>
          <w:lang w:val="fr-FR"/>
        </w:rPr>
        <w:t xml:space="preserve"> fINANCIER ET COMPTABLE</w:t>
      </w:r>
      <w:r w:rsidR="00C42FAF" w:rsidRPr="00901AA4">
        <w:rPr>
          <w:b/>
          <w:caps/>
          <w:spacing w:val="-2"/>
          <w:szCs w:val="24"/>
          <w:lang w:val="fr-FR"/>
        </w:rPr>
        <w:t xml:space="preserve"> DES COMPTES POUR L’EXERCICE 2024 ET 2025 DU PBVE</w:t>
      </w:r>
    </w:p>
    <w:p w14:paraId="7FB4FEE1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caps/>
          <w:spacing w:val="-2"/>
          <w:szCs w:val="24"/>
          <w:lang w:val="fr-FR"/>
        </w:rPr>
      </w:pPr>
      <w:r w:rsidRPr="00901AA4">
        <w:rPr>
          <w:b/>
          <w:spacing w:val="-2"/>
          <w:szCs w:val="24"/>
          <w:lang w:val="fr-FR"/>
        </w:rPr>
        <w:t>Référence de publication :</w:t>
      </w:r>
    </w:p>
    <w:p w14:paraId="4EBBB1E7" w14:textId="1B30F28A" w:rsidR="003E4D60" w:rsidRPr="00901AA4" w:rsidRDefault="003E4D60" w:rsidP="00573899">
      <w:pPr>
        <w:pStyle w:val="Paragraphedeliste"/>
        <w:spacing w:line="276" w:lineRule="auto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Le présent avis à manifestation d’intérêt</w:t>
      </w:r>
      <w:r w:rsidRPr="00901AA4">
        <w:rPr>
          <w:bCs/>
          <w:caps/>
          <w:spacing w:val="-2"/>
          <w:szCs w:val="24"/>
          <w:lang w:val="fr-FR"/>
        </w:rPr>
        <w:t xml:space="preserve"> </w:t>
      </w:r>
      <w:r w:rsidRPr="00901AA4">
        <w:rPr>
          <w:szCs w:val="24"/>
          <w:lang w:val="fr-FR"/>
        </w:rPr>
        <w:t xml:space="preserve">fait suite à l’approbation du Plan des Passations des Marchés Publics du PBVE </w:t>
      </w:r>
      <w:r w:rsidR="00C42FAF" w:rsidRPr="00901AA4">
        <w:rPr>
          <w:szCs w:val="24"/>
          <w:lang w:val="fr-FR"/>
        </w:rPr>
        <w:t xml:space="preserve">modifié </w:t>
      </w:r>
      <w:r w:rsidRPr="00901AA4">
        <w:rPr>
          <w:szCs w:val="24"/>
          <w:lang w:val="fr-FR"/>
        </w:rPr>
        <w:t xml:space="preserve">suivant </w:t>
      </w:r>
      <w:r w:rsidR="00C42FAF" w:rsidRPr="00901AA4">
        <w:rPr>
          <w:szCs w:val="24"/>
          <w:lang w:val="fr-FR"/>
        </w:rPr>
        <w:t xml:space="preserve">la </w:t>
      </w:r>
      <w:r w:rsidRPr="00901AA4">
        <w:rPr>
          <w:szCs w:val="24"/>
          <w:lang w:val="fr-FR"/>
        </w:rPr>
        <w:t>lettre N°016</w:t>
      </w:r>
      <w:r w:rsidR="00C42FAF" w:rsidRPr="00901AA4">
        <w:rPr>
          <w:szCs w:val="24"/>
          <w:lang w:val="fr-FR"/>
        </w:rPr>
        <w:t>6</w:t>
      </w:r>
      <w:r w:rsidRPr="00901AA4">
        <w:rPr>
          <w:szCs w:val="24"/>
          <w:lang w:val="fr-FR"/>
        </w:rPr>
        <w:t xml:space="preserve">/MEF-DGMP-DSP du </w:t>
      </w:r>
      <w:r w:rsidR="00C42FAF" w:rsidRPr="00901AA4">
        <w:rPr>
          <w:szCs w:val="24"/>
          <w:lang w:val="fr-FR"/>
        </w:rPr>
        <w:t xml:space="preserve">07 juin </w:t>
      </w:r>
      <w:r w:rsidRPr="00901AA4">
        <w:rPr>
          <w:szCs w:val="24"/>
          <w:lang w:val="fr-FR"/>
        </w:rPr>
        <w:t>202</w:t>
      </w:r>
      <w:r w:rsidR="00C42FAF" w:rsidRPr="00901AA4">
        <w:rPr>
          <w:szCs w:val="24"/>
          <w:lang w:val="fr-FR"/>
        </w:rPr>
        <w:t>4.</w:t>
      </w:r>
      <w:r w:rsidRPr="00901AA4">
        <w:rPr>
          <w:szCs w:val="24"/>
          <w:lang w:val="fr-FR"/>
        </w:rPr>
        <w:t xml:space="preserve"> </w:t>
      </w:r>
    </w:p>
    <w:p w14:paraId="11A4D59E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spacing w:val="-2"/>
          <w:szCs w:val="24"/>
        </w:rPr>
      </w:pPr>
      <w:r w:rsidRPr="00901AA4">
        <w:rPr>
          <w:b/>
          <w:spacing w:val="-2"/>
          <w:szCs w:val="24"/>
          <w:lang w:val="fr-FR"/>
        </w:rPr>
        <w:t xml:space="preserve">Autorité Contractante : </w:t>
      </w:r>
    </w:p>
    <w:p w14:paraId="7BA3DB0C" w14:textId="77777777" w:rsidR="003E4D60" w:rsidRPr="00901AA4" w:rsidRDefault="003E4D60" w:rsidP="00901AA4">
      <w:pPr>
        <w:pStyle w:val="Paragraphedeliste"/>
        <w:spacing w:line="276" w:lineRule="auto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Commissariat à la Sécurité Alimentaire – CSA</w:t>
      </w:r>
    </w:p>
    <w:p w14:paraId="58175498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spacing w:val="-2"/>
          <w:szCs w:val="24"/>
        </w:rPr>
      </w:pPr>
      <w:r w:rsidRPr="00901AA4">
        <w:rPr>
          <w:b/>
          <w:spacing w:val="-2"/>
          <w:szCs w:val="24"/>
          <w:lang w:val="fr-FR"/>
        </w:rPr>
        <w:t>Financement :</w:t>
      </w:r>
    </w:p>
    <w:p w14:paraId="1215212A" w14:textId="77777777" w:rsidR="003E4D60" w:rsidRPr="00901AA4" w:rsidRDefault="003E4D60" w:rsidP="00901AA4">
      <w:pPr>
        <w:pStyle w:val="Paragraphedeliste"/>
        <w:spacing w:line="276" w:lineRule="auto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Agence Italienne pour la Coopération au Développement – AICS (AID 11405)</w:t>
      </w:r>
    </w:p>
    <w:p w14:paraId="4FA608D8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spacing w:val="-2"/>
          <w:szCs w:val="24"/>
          <w:lang w:val="fr-FR"/>
        </w:rPr>
      </w:pPr>
      <w:r w:rsidRPr="00901AA4">
        <w:rPr>
          <w:b/>
          <w:spacing w:val="-2"/>
          <w:szCs w:val="24"/>
          <w:lang w:val="fr-FR"/>
        </w:rPr>
        <w:t>Procédure :</w:t>
      </w:r>
    </w:p>
    <w:p w14:paraId="2FAE3657" w14:textId="37B6AE3B" w:rsidR="003E4D60" w:rsidRPr="00901AA4" w:rsidRDefault="003E4D60" w:rsidP="00901AA4">
      <w:pPr>
        <w:pStyle w:val="Paragraphedeliste"/>
        <w:spacing w:after="200" w:line="276" w:lineRule="auto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La procédure du présent marché est conduite selon l’art. 5</w:t>
      </w:r>
      <w:r w:rsidR="007D2C8D" w:rsidRPr="00901AA4">
        <w:rPr>
          <w:szCs w:val="24"/>
          <w:lang w:val="fr-FR"/>
        </w:rPr>
        <w:t>5</w:t>
      </w:r>
      <w:r w:rsidRPr="00901AA4">
        <w:rPr>
          <w:szCs w:val="24"/>
          <w:lang w:val="fr-FR"/>
        </w:rPr>
        <w:t xml:space="preserve"> (</w:t>
      </w:r>
      <w:r w:rsidR="006A4642" w:rsidRPr="00901AA4">
        <w:rPr>
          <w:szCs w:val="24"/>
          <w:lang w:val="fr-FR"/>
        </w:rPr>
        <w:t>Des procédures spécifiques au marché de prestations intellectuelles</w:t>
      </w:r>
      <w:r w:rsidRPr="00901AA4">
        <w:rPr>
          <w:szCs w:val="24"/>
          <w:lang w:val="fr-FR"/>
        </w:rPr>
        <w:t xml:space="preserve">) du Code des marchés publics du Mali (Décret n°2015-604/P-RM du 25 septembre 2015 portant Code des marchés publics et des délégations de service public) et conformément aux intégrations indiquées dans les annexes II et III de l’accord exécutif. </w:t>
      </w:r>
    </w:p>
    <w:p w14:paraId="49676259" w14:textId="77777777" w:rsidR="003E4D60" w:rsidRPr="00901AA4" w:rsidRDefault="003E4D60" w:rsidP="00901AA4">
      <w:pPr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Les procédures de sélection des soumissionnaires sont ouvertes aux opérateurs économiques de l’Union Européenne, à ceux prévus à l’article 25 Règlement 2014/24/UE et à ceux en possession des autorisations et des conditions requises et prévue par la législation malienne.</w:t>
      </w:r>
    </w:p>
    <w:p w14:paraId="5293CEAE" w14:textId="77777777" w:rsidR="003E4D60" w:rsidRPr="00901AA4" w:rsidRDefault="003E4D60" w:rsidP="00901AA4">
      <w:pPr>
        <w:ind w:left="-284" w:right="-432"/>
        <w:rPr>
          <w:szCs w:val="24"/>
          <w:lang w:val="fr-FR"/>
        </w:rPr>
      </w:pPr>
    </w:p>
    <w:p w14:paraId="0B6CB8B7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spacing w:val="-2"/>
          <w:szCs w:val="24"/>
          <w:lang w:val="fr-FR"/>
        </w:rPr>
      </w:pPr>
      <w:r w:rsidRPr="00901AA4">
        <w:rPr>
          <w:b/>
          <w:spacing w:val="-2"/>
          <w:szCs w:val="24"/>
          <w:lang w:val="fr-FR"/>
        </w:rPr>
        <w:t>Objet :</w:t>
      </w:r>
    </w:p>
    <w:p w14:paraId="506A69C5" w14:textId="6D0A6DFE" w:rsidR="00F4435B" w:rsidRDefault="003E4D60" w:rsidP="00901AA4">
      <w:pPr>
        <w:pStyle w:val="Paragraphedeliste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 xml:space="preserve">Dans le cadre de l’Initiative Présidentielle </w:t>
      </w:r>
      <w:r w:rsidRPr="00901AA4">
        <w:rPr>
          <w:b/>
          <w:szCs w:val="24"/>
          <w:lang w:val="fr-FR"/>
        </w:rPr>
        <w:t>Projet Brigade Verte pour l’Emploi et l’Environnement (PBVE)</w:t>
      </w:r>
      <w:r w:rsidRPr="00901AA4">
        <w:rPr>
          <w:szCs w:val="24"/>
          <w:lang w:val="fr-FR"/>
        </w:rPr>
        <w:t xml:space="preserve">, le Commissariat à la sécurité alimentaire, a bénéficié d’un crédit concessionnel de l’Agence Italienne pour la Coopération et le Développement (AICS) pour la réalisation du </w:t>
      </w:r>
      <w:r w:rsidRPr="00901AA4">
        <w:rPr>
          <w:b/>
          <w:bCs/>
          <w:szCs w:val="24"/>
          <w:lang w:val="fr-FR"/>
        </w:rPr>
        <w:t>Projet d’aménagement de 3000 hectares dans les régions de Kayes et de Nioro du Sahel</w:t>
      </w:r>
      <w:r w:rsidRPr="00901AA4">
        <w:rPr>
          <w:b/>
          <w:szCs w:val="24"/>
          <w:lang w:val="fr-FR"/>
        </w:rPr>
        <w:t>,</w:t>
      </w:r>
      <w:r w:rsidRPr="00901AA4">
        <w:rPr>
          <w:szCs w:val="24"/>
          <w:lang w:val="fr-FR"/>
        </w:rPr>
        <w:t xml:space="preserve"> et a l’intention d’utiliser une partie des fonds pour effectuer les paiements au titre du marché </w:t>
      </w:r>
      <w:r w:rsidR="006A4642" w:rsidRPr="00901AA4">
        <w:rPr>
          <w:szCs w:val="24"/>
          <w:lang w:val="fr-FR"/>
        </w:rPr>
        <w:t>de</w:t>
      </w:r>
      <w:r w:rsidRPr="00901AA4">
        <w:rPr>
          <w:szCs w:val="24"/>
          <w:lang w:val="fr-FR"/>
        </w:rPr>
        <w:t xml:space="preserve"> </w:t>
      </w:r>
      <w:r w:rsidR="006A4642" w:rsidRPr="00901AA4">
        <w:rPr>
          <w:bCs/>
          <w:szCs w:val="24"/>
        </w:rPr>
        <w:t>l’audit comptable et financier de 2024-2025 des comptes du Projet Brigade Verte pour l’Emploi et l’Environnement (PBVE)</w:t>
      </w:r>
      <w:r w:rsidR="006A4642" w:rsidRPr="00901AA4">
        <w:rPr>
          <w:szCs w:val="24"/>
          <w:lang w:val="fr-FR"/>
        </w:rPr>
        <w:t xml:space="preserve">. </w:t>
      </w:r>
      <w:r w:rsidRPr="00901AA4">
        <w:rPr>
          <w:szCs w:val="24"/>
          <w:lang w:val="fr-FR"/>
        </w:rPr>
        <w:t xml:space="preserve">Ces prestations seront réalisées conformément aux exigences du bailleur (AICS) et de l’État Malien. </w:t>
      </w:r>
    </w:p>
    <w:p w14:paraId="1D3C1ADF" w14:textId="77777777" w:rsidR="00573899" w:rsidRDefault="00573899" w:rsidP="00901AA4">
      <w:pPr>
        <w:pStyle w:val="Paragraphedeliste"/>
        <w:ind w:left="-284" w:right="-432"/>
        <w:jc w:val="both"/>
        <w:rPr>
          <w:szCs w:val="24"/>
          <w:lang w:val="fr-FR"/>
        </w:rPr>
      </w:pPr>
    </w:p>
    <w:p w14:paraId="0C945EA3" w14:textId="77777777" w:rsidR="00573899" w:rsidRDefault="00573899" w:rsidP="00901AA4">
      <w:pPr>
        <w:pStyle w:val="Paragraphedeliste"/>
        <w:ind w:left="-284" w:right="-432"/>
        <w:jc w:val="both"/>
        <w:rPr>
          <w:szCs w:val="24"/>
          <w:lang w:val="fr-FR"/>
        </w:rPr>
      </w:pPr>
    </w:p>
    <w:p w14:paraId="07DFF39D" w14:textId="77777777" w:rsidR="00573899" w:rsidRDefault="00573899" w:rsidP="00901AA4">
      <w:pPr>
        <w:pStyle w:val="Paragraphedeliste"/>
        <w:ind w:left="-284" w:right="-432"/>
        <w:jc w:val="both"/>
        <w:rPr>
          <w:szCs w:val="24"/>
          <w:lang w:val="fr-FR"/>
        </w:rPr>
      </w:pPr>
    </w:p>
    <w:p w14:paraId="57A59715" w14:textId="77777777" w:rsidR="00512998" w:rsidRPr="00901AA4" w:rsidRDefault="00512998" w:rsidP="00901AA4">
      <w:pPr>
        <w:pStyle w:val="Paragraphedeliste"/>
        <w:ind w:left="-284" w:right="-432"/>
        <w:jc w:val="both"/>
        <w:rPr>
          <w:szCs w:val="24"/>
          <w:lang w:val="fr-FR"/>
        </w:rPr>
      </w:pPr>
    </w:p>
    <w:p w14:paraId="6FF8362B" w14:textId="77777777" w:rsidR="003E4D60" w:rsidRPr="00901AA4" w:rsidRDefault="003E4D60" w:rsidP="003E4D6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b/>
          <w:spacing w:val="-2"/>
          <w:szCs w:val="24"/>
          <w:lang w:val="fr-FR"/>
        </w:rPr>
      </w:pPr>
      <w:r w:rsidRPr="00901AA4">
        <w:rPr>
          <w:b/>
          <w:spacing w:val="-2"/>
          <w:szCs w:val="24"/>
          <w:lang w:val="fr-FR"/>
        </w:rPr>
        <w:lastRenderedPageBreak/>
        <w:t>Nature du marché :</w:t>
      </w:r>
      <w:r w:rsidRPr="00901AA4">
        <w:rPr>
          <w:szCs w:val="24"/>
          <w:lang w:val="fr-FR"/>
        </w:rPr>
        <w:t xml:space="preserve"> </w:t>
      </w:r>
    </w:p>
    <w:p w14:paraId="2631F654" w14:textId="1F00A203" w:rsidR="003E4D60" w:rsidRPr="00901AA4" w:rsidRDefault="003E4D60" w:rsidP="00901AA4">
      <w:pPr>
        <w:rPr>
          <w:lang w:val="fr-FR"/>
        </w:rPr>
      </w:pPr>
      <w:r w:rsidRPr="00901AA4">
        <w:rPr>
          <w:lang w:val="fr-FR"/>
        </w:rPr>
        <w:t>L</w:t>
      </w:r>
      <w:r w:rsidR="00CC5266">
        <w:rPr>
          <w:lang w:val="fr-FR"/>
        </w:rPr>
        <w:t>e marché sera à rémunération forfaitaire avec ventilation des prix. L</w:t>
      </w:r>
      <w:r w:rsidRPr="00901AA4">
        <w:rPr>
          <w:lang w:val="fr-FR"/>
        </w:rPr>
        <w:t xml:space="preserve">a réalisation </w:t>
      </w:r>
      <w:r w:rsidR="00C94DB9" w:rsidRPr="00901AA4">
        <w:rPr>
          <w:lang w:val="fr-FR"/>
        </w:rPr>
        <w:t xml:space="preserve">de </w:t>
      </w:r>
      <w:r w:rsidR="00C94DB9" w:rsidRPr="00901AA4">
        <w:t>l’audit comptable et financier de 2024-2025 des comptes du Projet Brigade Verte pour l’Emploi et l’Environnement (PBVE).</w:t>
      </w:r>
      <w:r w:rsidR="00512998">
        <w:t xml:space="preserve"> </w:t>
      </w:r>
      <w:r w:rsidRPr="00901AA4">
        <w:rPr>
          <w:lang w:val="fr-FR"/>
        </w:rPr>
        <w:t xml:space="preserve">Les travaux seront réalisés pour un délai d’exécution de </w:t>
      </w:r>
      <w:r w:rsidR="00CD5ACE" w:rsidRPr="00901AA4">
        <w:rPr>
          <w:lang w:val="fr-FR"/>
        </w:rPr>
        <w:t xml:space="preserve">dix-huit </w:t>
      </w:r>
      <w:r w:rsidRPr="00901AA4">
        <w:rPr>
          <w:lang w:val="fr-FR"/>
        </w:rPr>
        <w:t>(</w:t>
      </w:r>
      <w:r w:rsidR="00CD5ACE" w:rsidRPr="00901AA4">
        <w:rPr>
          <w:lang w:val="fr-FR"/>
        </w:rPr>
        <w:t>18</w:t>
      </w:r>
      <w:r w:rsidRPr="00901AA4">
        <w:rPr>
          <w:lang w:val="fr-FR"/>
        </w:rPr>
        <w:t>) mois</w:t>
      </w:r>
      <w:r w:rsidR="00F4435B" w:rsidRPr="00901AA4">
        <w:rPr>
          <w:lang w:val="fr-FR"/>
        </w:rPr>
        <w:t> :</w:t>
      </w:r>
    </w:p>
    <w:p w14:paraId="5CF38E33" w14:textId="09AB156A" w:rsidR="00CD5ACE" w:rsidRPr="00901AA4" w:rsidRDefault="00CD5ACE" w:rsidP="00901AA4">
      <w:pPr>
        <w:pStyle w:val="Paragraphedeliste"/>
        <w:numPr>
          <w:ilvl w:val="0"/>
          <w:numId w:val="17"/>
        </w:numPr>
      </w:pPr>
      <w:r w:rsidRPr="00901AA4">
        <w:t>Un audit intermédiaire du 01 janvier 2024 au 30 juin 2024;</w:t>
      </w:r>
    </w:p>
    <w:p w14:paraId="12209390" w14:textId="62A88AC5" w:rsidR="003E4D60" w:rsidRPr="0029173E" w:rsidRDefault="00CD5ACE" w:rsidP="00901AA4">
      <w:pPr>
        <w:pStyle w:val="Paragraphedeliste"/>
        <w:numPr>
          <w:ilvl w:val="0"/>
          <w:numId w:val="17"/>
        </w:numPr>
        <w:rPr>
          <w:lang w:val="fr-FR"/>
        </w:rPr>
      </w:pPr>
      <w:r w:rsidRPr="00901AA4">
        <w:t>L’audit annuel du 01 janvier 2024 au 31 décembre 2024</w:t>
      </w:r>
      <w:r w:rsidR="0029173E">
        <w:t>;</w:t>
      </w:r>
    </w:p>
    <w:p w14:paraId="1E3B9FAC" w14:textId="29389645" w:rsidR="0029173E" w:rsidRPr="0029173E" w:rsidRDefault="0029173E" w:rsidP="00901AA4">
      <w:pPr>
        <w:pStyle w:val="Paragraphedeliste"/>
        <w:numPr>
          <w:ilvl w:val="0"/>
          <w:numId w:val="17"/>
        </w:numPr>
        <w:rPr>
          <w:lang w:val="fr-FR"/>
        </w:rPr>
      </w:pPr>
      <w:r w:rsidRPr="00901AA4">
        <w:t>L’audit annuel du 01 janvier 202</w:t>
      </w:r>
      <w:r>
        <w:t>5</w:t>
      </w:r>
      <w:r w:rsidRPr="00901AA4">
        <w:t xml:space="preserve"> au </w:t>
      </w:r>
      <w:r>
        <w:t>01 juin</w:t>
      </w:r>
      <w:r w:rsidRPr="00901AA4">
        <w:t xml:space="preserve"> 202</w:t>
      </w:r>
      <w:r>
        <w:t>5.</w:t>
      </w:r>
    </w:p>
    <w:p w14:paraId="06C9AF8B" w14:textId="31A8A717" w:rsidR="003E4D60" w:rsidRPr="00901AA4" w:rsidRDefault="003E4D60" w:rsidP="00901AA4">
      <w:pPr>
        <w:pStyle w:val="Paragraphedeliste"/>
        <w:numPr>
          <w:ilvl w:val="0"/>
          <w:numId w:val="1"/>
        </w:numPr>
        <w:rPr>
          <w:b/>
          <w:spacing w:val="-2"/>
          <w:lang w:val="fr-FR"/>
        </w:rPr>
      </w:pPr>
      <w:r w:rsidRPr="00901AA4">
        <w:rPr>
          <w:b/>
          <w:spacing w:val="-2"/>
          <w:lang w:val="fr-FR"/>
        </w:rPr>
        <w:t xml:space="preserve">Le Montant maximum estimé : </w:t>
      </w:r>
    </w:p>
    <w:p w14:paraId="478CC975" w14:textId="0F6CEFA8" w:rsidR="003E4D60" w:rsidRPr="00901AA4" w:rsidRDefault="003E4D60" w:rsidP="00901AA4">
      <w:r w:rsidRPr="00901AA4">
        <w:rPr>
          <w:lang w:val="fr-FR"/>
        </w:rPr>
        <w:t xml:space="preserve">Le Montant maximum estimé du marché est de </w:t>
      </w:r>
      <w:r w:rsidR="00D86F9F" w:rsidRPr="00901AA4">
        <w:rPr>
          <w:lang w:val="fr-FR"/>
        </w:rPr>
        <w:t>14 950 000</w:t>
      </w:r>
      <w:r w:rsidRPr="00901AA4">
        <w:rPr>
          <w:lang w:val="fr-FR"/>
        </w:rPr>
        <w:t xml:space="preserve"> F CFA HT </w:t>
      </w:r>
    </w:p>
    <w:p w14:paraId="7F1961B8" w14:textId="77777777" w:rsidR="003E4D60" w:rsidRPr="00901AA4" w:rsidRDefault="003E4D60" w:rsidP="00901AA4">
      <w:pPr>
        <w:rPr>
          <w:lang w:val="fr-FR"/>
        </w:rPr>
      </w:pPr>
      <w:r w:rsidRPr="00901AA4">
        <w:rPr>
          <w:lang w:val="fr-FR"/>
        </w:rPr>
        <w:t>Taux de change : 655.96 F CFA = 1 Euro (art. 2.3 de l’accord exécutif)</w:t>
      </w:r>
    </w:p>
    <w:p w14:paraId="009860FC" w14:textId="30707689" w:rsidR="003E4D60" w:rsidRPr="00901AA4" w:rsidRDefault="003E4D60" w:rsidP="00901AA4">
      <w:pPr>
        <w:pStyle w:val="Paragraphedeliste"/>
        <w:numPr>
          <w:ilvl w:val="0"/>
          <w:numId w:val="1"/>
        </w:numPr>
        <w:rPr>
          <w:lang w:val="fr-FR"/>
        </w:rPr>
      </w:pPr>
      <w:r w:rsidRPr="00901AA4">
        <w:rPr>
          <w:b/>
          <w:spacing w:val="-2"/>
          <w:lang w:val="fr-FR"/>
        </w:rPr>
        <w:t>Langue :</w:t>
      </w:r>
      <w:r w:rsidR="00901AA4">
        <w:rPr>
          <w:b/>
          <w:spacing w:val="-2"/>
          <w:lang w:val="fr-FR"/>
        </w:rPr>
        <w:t xml:space="preserve"> </w:t>
      </w:r>
      <w:r w:rsidRPr="00901AA4">
        <w:rPr>
          <w:lang w:val="fr-FR"/>
        </w:rPr>
        <w:t>La langue de soumission des dossiers est le français</w:t>
      </w:r>
    </w:p>
    <w:p w14:paraId="70CD66C1" w14:textId="519D2353" w:rsidR="003E4D60" w:rsidRPr="00901AA4" w:rsidRDefault="003E4D60" w:rsidP="00901AA4">
      <w:pPr>
        <w:pStyle w:val="Paragraphedeliste"/>
        <w:numPr>
          <w:ilvl w:val="0"/>
          <w:numId w:val="1"/>
        </w:numPr>
        <w:rPr>
          <w:b/>
          <w:spacing w:val="-2"/>
          <w:lang w:val="fr-FR"/>
        </w:rPr>
      </w:pPr>
      <w:r w:rsidRPr="00901AA4">
        <w:rPr>
          <w:b/>
          <w:spacing w:val="-2"/>
          <w:lang w:val="fr-FR"/>
        </w:rPr>
        <w:t>Informations complémentaires :</w:t>
      </w:r>
    </w:p>
    <w:p w14:paraId="6797C0CE" w14:textId="77777777" w:rsidR="00557D97" w:rsidRPr="00901AA4" w:rsidRDefault="003E4D60" w:rsidP="00901AA4">
      <w:pPr>
        <w:rPr>
          <w:lang w:val="fr-FR"/>
        </w:rPr>
      </w:pPr>
      <w:r w:rsidRPr="00901AA4">
        <w:rPr>
          <w:lang w:val="fr-FR"/>
        </w:rPr>
        <w:t>Les c</w:t>
      </w:r>
      <w:r w:rsidR="00557D97" w:rsidRPr="00901AA4">
        <w:rPr>
          <w:lang w:val="fr-FR"/>
        </w:rPr>
        <w:t>abine</w:t>
      </w:r>
      <w:r w:rsidRPr="00901AA4">
        <w:rPr>
          <w:lang w:val="fr-FR"/>
        </w:rPr>
        <w:t>ts intéressés</w:t>
      </w:r>
      <w:r w:rsidR="00557D97" w:rsidRPr="00901AA4">
        <w:rPr>
          <w:lang w:val="fr-FR"/>
        </w:rPr>
        <w:t xml:space="preserve"> doivent fournir un dossier de manifestation d’intérêt comprenant :</w:t>
      </w:r>
      <w:r w:rsidRPr="00901AA4">
        <w:rPr>
          <w:lang w:val="fr-FR"/>
        </w:rPr>
        <w:t xml:space="preserve"> </w:t>
      </w:r>
      <w:r w:rsidR="00557D97" w:rsidRPr="00901AA4">
        <w:rPr>
          <w:lang w:val="fr-FR"/>
        </w:rPr>
        <w:t xml:space="preserve">   </w:t>
      </w:r>
    </w:p>
    <w:p w14:paraId="370C63B6" w14:textId="78B2CBB4" w:rsidR="00557D97" w:rsidRPr="00901AA4" w:rsidRDefault="00557D97" w:rsidP="00573899">
      <w:pPr>
        <w:snapToGrid w:val="0"/>
        <w:jc w:val="both"/>
        <w:rPr>
          <w:szCs w:val="24"/>
          <w:lang w:val="fr-ML"/>
        </w:rPr>
      </w:pPr>
      <w:r w:rsidRPr="00573899">
        <w:rPr>
          <w:szCs w:val="24"/>
          <w:lang w:val="fr-ML"/>
        </w:rPr>
        <w:t>Une lettre de manifestation d’intérêt</w:t>
      </w:r>
      <w:r w:rsidR="00573899" w:rsidRPr="00573899">
        <w:rPr>
          <w:szCs w:val="24"/>
          <w:lang w:val="fr-ML"/>
        </w:rPr>
        <w:t>, le</w:t>
      </w:r>
      <w:r w:rsidR="003E4D60" w:rsidRPr="00573899">
        <w:rPr>
          <w:szCs w:val="24"/>
          <w:lang w:val="fr-ML"/>
        </w:rPr>
        <w:t xml:space="preserve"> registre du commerce</w:t>
      </w:r>
      <w:r w:rsidR="00573899" w:rsidRPr="00573899">
        <w:rPr>
          <w:szCs w:val="24"/>
          <w:lang w:val="fr-ML"/>
        </w:rPr>
        <w:t xml:space="preserve">, le </w:t>
      </w:r>
      <w:r w:rsidR="00573899">
        <w:rPr>
          <w:szCs w:val="24"/>
          <w:lang w:val="fr-ML"/>
        </w:rPr>
        <w:t>q</w:t>
      </w:r>
      <w:r w:rsidR="003E4D60" w:rsidRPr="00573899">
        <w:rPr>
          <w:szCs w:val="24"/>
          <w:lang w:val="fr-ML"/>
        </w:rPr>
        <w:t>uitus fiscal</w:t>
      </w:r>
      <w:r w:rsidR="00573899" w:rsidRPr="00573899">
        <w:rPr>
          <w:szCs w:val="24"/>
          <w:lang w:val="fr-ML"/>
        </w:rPr>
        <w:t>, le</w:t>
      </w:r>
      <w:r w:rsidR="00573899">
        <w:rPr>
          <w:szCs w:val="24"/>
          <w:lang w:val="fr-ML"/>
        </w:rPr>
        <w:t xml:space="preserve"> </w:t>
      </w:r>
      <w:r w:rsidR="003E4D60" w:rsidRPr="00573899">
        <w:rPr>
          <w:szCs w:val="24"/>
          <w:lang w:val="fr-ML"/>
        </w:rPr>
        <w:t>Certificat de non faillite</w:t>
      </w:r>
      <w:r w:rsidR="00573899">
        <w:rPr>
          <w:szCs w:val="24"/>
          <w:lang w:val="fr-ML"/>
        </w:rPr>
        <w:t>, les e</w:t>
      </w:r>
      <w:r w:rsidR="00D10875" w:rsidRPr="00901AA4">
        <w:rPr>
          <w:szCs w:val="24"/>
          <w:lang w:val="fr-ML"/>
        </w:rPr>
        <w:t>xpériences similaires</w:t>
      </w:r>
      <w:r w:rsidR="00573899">
        <w:rPr>
          <w:szCs w:val="24"/>
          <w:lang w:val="fr-ML"/>
        </w:rPr>
        <w:t>, le c</w:t>
      </w:r>
      <w:r w:rsidR="00D10875" w:rsidRPr="00901AA4">
        <w:rPr>
          <w:szCs w:val="24"/>
          <w:lang w:val="fr-ML"/>
        </w:rPr>
        <w:t xml:space="preserve">urriculum </w:t>
      </w:r>
      <w:r w:rsidR="00CD5ACE" w:rsidRPr="00901AA4">
        <w:rPr>
          <w:szCs w:val="24"/>
          <w:lang w:val="fr-ML"/>
        </w:rPr>
        <w:t>vitae</w:t>
      </w:r>
      <w:r w:rsidR="00D10875" w:rsidRPr="00901AA4">
        <w:rPr>
          <w:szCs w:val="24"/>
          <w:lang w:val="fr-ML"/>
        </w:rPr>
        <w:t xml:space="preserve"> et attestation de disponibilité du personnel clé</w:t>
      </w:r>
      <w:r w:rsidR="00573899">
        <w:rPr>
          <w:szCs w:val="24"/>
          <w:lang w:val="fr-ML"/>
        </w:rPr>
        <w:t>, l’a</w:t>
      </w:r>
      <w:r w:rsidRPr="00901AA4">
        <w:rPr>
          <w:szCs w:val="24"/>
          <w:lang w:val="fr-ML"/>
        </w:rPr>
        <w:t xml:space="preserve">ffiliation à l’ordre professionnel des </w:t>
      </w:r>
      <w:r w:rsidR="00660040" w:rsidRPr="00901AA4">
        <w:rPr>
          <w:szCs w:val="24"/>
          <w:lang w:val="fr-ML"/>
        </w:rPr>
        <w:t>Experts-comptables</w:t>
      </w:r>
      <w:r w:rsidR="00D964EC" w:rsidRPr="00901AA4">
        <w:rPr>
          <w:szCs w:val="24"/>
          <w:lang w:val="fr-ML"/>
        </w:rPr>
        <w:t xml:space="preserve"> ainsi que toute information concernant son organisation et ses réseaux</w:t>
      </w:r>
      <w:r w:rsidRPr="00901AA4">
        <w:rPr>
          <w:szCs w:val="24"/>
          <w:lang w:val="fr-ML"/>
        </w:rPr>
        <w:t>.</w:t>
      </w:r>
    </w:p>
    <w:p w14:paraId="22749C23" w14:textId="08EDFCFE" w:rsidR="003E4D60" w:rsidRPr="00901AA4" w:rsidRDefault="003E4D60" w:rsidP="003E4D60">
      <w:pPr>
        <w:snapToGrid w:val="0"/>
        <w:jc w:val="both"/>
        <w:rPr>
          <w:szCs w:val="24"/>
          <w:lang w:val="fr-ML"/>
        </w:rPr>
      </w:pPr>
      <w:r w:rsidRPr="00901AA4">
        <w:rPr>
          <w:szCs w:val="24"/>
          <w:lang w:val="fr-ML"/>
        </w:rPr>
        <w:t>La non fourniture de chacun de ces documents en bonne et due forme entraine le rejet de l’offre</w:t>
      </w:r>
      <w:r w:rsidR="00573899">
        <w:rPr>
          <w:szCs w:val="24"/>
          <w:lang w:val="fr-ML"/>
        </w:rPr>
        <w:t>.</w:t>
      </w:r>
    </w:p>
    <w:p w14:paraId="1D0E9FE3" w14:textId="018123ED" w:rsidR="003E4D60" w:rsidRPr="00901AA4" w:rsidRDefault="003E4D60" w:rsidP="003E4D60">
      <w:pPr>
        <w:pStyle w:val="Paragraphedeliste"/>
        <w:spacing w:after="120"/>
        <w:ind w:left="0"/>
        <w:contextualSpacing w:val="0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Le ca</w:t>
      </w:r>
      <w:r w:rsidR="00660040" w:rsidRPr="00901AA4">
        <w:rPr>
          <w:szCs w:val="24"/>
          <w:lang w:val="fr-FR"/>
        </w:rPr>
        <w:t>binet doit mobiliser une équipe composée de :</w:t>
      </w:r>
    </w:p>
    <w:p w14:paraId="45939482" w14:textId="2256516D" w:rsidR="00660040" w:rsidRPr="00901AA4" w:rsidRDefault="00660040" w:rsidP="00660040">
      <w:pPr>
        <w:pStyle w:val="Paragraphedeliste"/>
        <w:numPr>
          <w:ilvl w:val="0"/>
          <w:numId w:val="14"/>
        </w:numPr>
        <w:spacing w:after="120"/>
        <w:contextualSpacing w:val="0"/>
        <w:jc w:val="both"/>
        <w:rPr>
          <w:szCs w:val="24"/>
          <w:lang w:val="fr-FR"/>
        </w:rPr>
      </w:pPr>
      <w:r w:rsidRPr="00901AA4">
        <w:rPr>
          <w:szCs w:val="24"/>
        </w:rPr>
        <w:t>Un (01) Expert-Comptable, Chef de mission justifiant d'au moins dix (10) années d'expérience d'audit comptable et financier;</w:t>
      </w:r>
    </w:p>
    <w:p w14:paraId="4FAFF99B" w14:textId="24887AC2" w:rsidR="00B36BA1" w:rsidRPr="007421E7" w:rsidRDefault="00660040" w:rsidP="00B36BA1">
      <w:pPr>
        <w:pStyle w:val="Sansinterlign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01AA4">
        <w:rPr>
          <w:rFonts w:ascii="Times New Roman" w:hAnsi="Times New Roman" w:cs="Times New Roman"/>
          <w:sz w:val="24"/>
          <w:szCs w:val="24"/>
        </w:rPr>
        <w:t xml:space="preserve">Deux (02) réviseurs comptables seniors, ayant au moins un diplôme niveau BAC + 5 ou </w:t>
      </w:r>
      <w:r w:rsidR="00B36BA1" w:rsidRPr="00901AA4">
        <w:rPr>
          <w:rFonts w:ascii="Times New Roman" w:hAnsi="Times New Roman" w:cs="Times New Roman"/>
          <w:sz w:val="24"/>
          <w:szCs w:val="24"/>
        </w:rPr>
        <w:t xml:space="preserve">equivalent </w:t>
      </w:r>
      <w:r w:rsidRPr="00901AA4">
        <w:rPr>
          <w:rFonts w:ascii="Times New Roman" w:hAnsi="Times New Roman" w:cs="Times New Roman"/>
          <w:sz w:val="24"/>
          <w:szCs w:val="24"/>
        </w:rPr>
        <w:t xml:space="preserve">en audit et/ou comptabilité, </w:t>
      </w:r>
    </w:p>
    <w:p w14:paraId="793A5BDF" w14:textId="055FD233" w:rsidR="00660040" w:rsidRPr="00901AA4" w:rsidRDefault="00660040" w:rsidP="00B36BA1">
      <w:pPr>
        <w:pStyle w:val="Sansinterligne"/>
        <w:rPr>
          <w:rFonts w:ascii="Times New Roman" w:hAnsi="Times New Roman" w:cs="Times New Roman"/>
          <w:b/>
          <w:bCs/>
          <w:sz w:val="24"/>
          <w:szCs w:val="24"/>
        </w:rPr>
      </w:pPr>
      <w:r w:rsidRPr="00901AA4">
        <w:rPr>
          <w:rFonts w:ascii="Times New Roman" w:hAnsi="Times New Roman" w:cs="Times New Roman"/>
          <w:b/>
          <w:bCs/>
          <w:sz w:val="24"/>
          <w:szCs w:val="24"/>
        </w:rPr>
        <w:t>Les critères de preselection et de notation sont les suivantes</w:t>
      </w:r>
      <w:r w:rsidR="00B36BA1" w:rsidRPr="0090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1AA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0A222C" w14:textId="2BDE2C8C" w:rsidR="00660040" w:rsidRPr="00573899" w:rsidRDefault="00660040" w:rsidP="00B36BA1">
      <w:pPr>
        <w:pStyle w:val="Sansinterligne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3899">
        <w:rPr>
          <w:rFonts w:ascii="Times New Roman" w:hAnsi="Times New Roman" w:cs="Times New Roman"/>
          <w:b/>
          <w:bCs/>
          <w:sz w:val="24"/>
          <w:szCs w:val="24"/>
        </w:rPr>
        <w:t>Qualifications générales du cabinet (10 points) ;</w:t>
      </w:r>
    </w:p>
    <w:p w14:paraId="1C0C1DAE" w14:textId="77777777" w:rsidR="00257A18" w:rsidRPr="00573899" w:rsidRDefault="00660040" w:rsidP="00660040">
      <w:pPr>
        <w:pStyle w:val="Sansinterligne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3899">
        <w:rPr>
          <w:rFonts w:ascii="Times New Roman" w:hAnsi="Times New Roman" w:cs="Times New Roman"/>
          <w:b/>
          <w:bCs/>
          <w:sz w:val="24"/>
          <w:szCs w:val="24"/>
        </w:rPr>
        <w:t>Descrip</w:t>
      </w:r>
      <w:r w:rsidR="00D964EC" w:rsidRPr="00573899">
        <w:rPr>
          <w:rFonts w:ascii="Times New Roman" w:hAnsi="Times New Roman" w:cs="Times New Roman"/>
          <w:b/>
          <w:bCs/>
          <w:sz w:val="24"/>
          <w:szCs w:val="24"/>
        </w:rPr>
        <w:t>tion de l’organisation technique et managériale du cabinet (20 points)</w:t>
      </w:r>
      <w:r w:rsidR="00257A18" w:rsidRPr="00573899">
        <w:rPr>
          <w:rFonts w:ascii="Times New Roman" w:hAnsi="Times New Roman" w:cs="Times New Roman"/>
          <w:b/>
          <w:bCs/>
          <w:sz w:val="24"/>
          <w:szCs w:val="24"/>
        </w:rPr>
        <w:t> ;</w:t>
      </w:r>
    </w:p>
    <w:p w14:paraId="1A9899DD" w14:textId="77777777" w:rsidR="00257A18" w:rsidRPr="00573899" w:rsidRDefault="00257A18" w:rsidP="00660040">
      <w:pPr>
        <w:pStyle w:val="Sansinterligne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3899">
        <w:rPr>
          <w:rFonts w:ascii="Times New Roman" w:hAnsi="Times New Roman" w:cs="Times New Roman"/>
          <w:b/>
          <w:bCs/>
          <w:sz w:val="24"/>
          <w:szCs w:val="24"/>
        </w:rPr>
        <w:t>Les marchés similaires (40) en raison de 10 points par marché ;</w:t>
      </w:r>
    </w:p>
    <w:p w14:paraId="0D8D9E10" w14:textId="10A78014" w:rsidR="00660040" w:rsidRPr="00573899" w:rsidRDefault="00257A18" w:rsidP="00660040">
      <w:pPr>
        <w:pStyle w:val="Sansinterligne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3899">
        <w:rPr>
          <w:rFonts w:ascii="Times New Roman" w:hAnsi="Times New Roman" w:cs="Times New Roman"/>
          <w:b/>
          <w:bCs/>
          <w:sz w:val="24"/>
          <w:szCs w:val="24"/>
        </w:rPr>
        <w:t>Qualifications générales et expérience</w:t>
      </w:r>
      <w:r w:rsidR="00B36BA1" w:rsidRPr="00573899">
        <w:rPr>
          <w:rFonts w:ascii="Times New Roman" w:hAnsi="Times New Roman" w:cs="Times New Roman"/>
          <w:b/>
          <w:bCs/>
          <w:sz w:val="24"/>
          <w:szCs w:val="24"/>
        </w:rPr>
        <w:t>s spécifiques du personnel clé (30 points).</w:t>
      </w:r>
      <w:r w:rsidRPr="00573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64EC" w:rsidRPr="00573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A30C82" w14:textId="29EA87EB" w:rsidR="00B36BA1" w:rsidRPr="00573899" w:rsidRDefault="00B36BA1" w:rsidP="003E4D60">
      <w:pPr>
        <w:pStyle w:val="Paragraphedeliste"/>
        <w:spacing w:after="120"/>
        <w:ind w:left="0"/>
        <w:contextualSpacing w:val="0"/>
        <w:jc w:val="both"/>
        <w:rPr>
          <w:b/>
          <w:bCs/>
          <w:szCs w:val="24"/>
          <w:lang w:val="fr-FR"/>
        </w:rPr>
      </w:pPr>
      <w:r w:rsidRPr="00573899">
        <w:rPr>
          <w:b/>
          <w:bCs/>
          <w:szCs w:val="24"/>
          <w:lang w:val="fr-FR"/>
        </w:rPr>
        <w:t>La note minimale requise des candidats est de 70 points sur 100.</w:t>
      </w:r>
    </w:p>
    <w:p w14:paraId="551895D7" w14:textId="5D56590C" w:rsidR="003E4D60" w:rsidRPr="00901AA4" w:rsidRDefault="003E4D60" w:rsidP="003E4D60">
      <w:pPr>
        <w:pStyle w:val="Paragraphedeliste"/>
        <w:spacing w:after="120"/>
        <w:ind w:left="0"/>
        <w:contextualSpacing w:val="0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Il est à noter que l’intérêt manifesté par une entreprise n’implique aucune obligation de la part de l’Administration de les inclure sur une liste restreinte.</w:t>
      </w:r>
    </w:p>
    <w:p w14:paraId="2B3932CC" w14:textId="25A1B80E" w:rsidR="003E4D60" w:rsidRPr="00901AA4" w:rsidRDefault="003E4D60" w:rsidP="003E4D60">
      <w:pPr>
        <w:pStyle w:val="Paragraphedeliste"/>
        <w:spacing w:after="120"/>
        <w:ind w:left="0"/>
        <w:contextualSpacing w:val="0"/>
        <w:jc w:val="both"/>
        <w:rPr>
          <w:iCs/>
          <w:color w:val="333333"/>
          <w:szCs w:val="24"/>
          <w:lang w:val="fr-FR" w:eastAsia="fr-FR"/>
        </w:rPr>
      </w:pPr>
      <w:r w:rsidRPr="00901AA4">
        <w:rPr>
          <w:szCs w:val="24"/>
          <w:lang w:val="fr-FR"/>
        </w:rPr>
        <w:t xml:space="preserve">Les candidats intéressés peuvent obtenir des informations supplémentaires auprès de la </w:t>
      </w:r>
      <w:r w:rsidRPr="00901AA4">
        <w:rPr>
          <w:iCs/>
          <w:color w:val="333333"/>
          <w:szCs w:val="24"/>
          <w:lang w:val="fr-FR" w:eastAsia="fr-FR"/>
        </w:rPr>
        <w:t>Coordination du Projet Brigade Verte pour l’Emploi et L’Environnement (PBVE) sis à la Cité UNICEF – Rue 192 – Porte : 267– Bamako (Mali)</w:t>
      </w:r>
      <w:r w:rsidR="00901AA4" w:rsidRPr="00901AA4">
        <w:rPr>
          <w:iCs/>
          <w:color w:val="333333"/>
          <w:szCs w:val="24"/>
          <w:lang w:val="fr-FR" w:eastAsia="fr-FR"/>
        </w:rPr>
        <w:t>.</w:t>
      </w:r>
    </w:p>
    <w:p w14:paraId="4C5E7FD8" w14:textId="77777777" w:rsidR="003E4D60" w:rsidRPr="00901AA4" w:rsidRDefault="003E4D60" w:rsidP="003E4D60">
      <w:pPr>
        <w:pStyle w:val="Paragraphedeliste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  <w:spacing w:val="-2"/>
          <w:szCs w:val="24"/>
          <w:lang w:val="fr-FR"/>
        </w:rPr>
      </w:pPr>
      <w:r w:rsidRPr="00901AA4">
        <w:rPr>
          <w:b/>
          <w:spacing w:val="-2"/>
          <w:szCs w:val="24"/>
          <w:lang w:val="fr-FR"/>
        </w:rPr>
        <w:t>Soumission des candidatures</w:t>
      </w:r>
    </w:p>
    <w:p w14:paraId="605B6319" w14:textId="106CE7CC" w:rsidR="003E4D60" w:rsidRPr="00901AA4" w:rsidRDefault="003E4D60" w:rsidP="003E4D60">
      <w:pPr>
        <w:spacing w:after="120"/>
        <w:jc w:val="both"/>
        <w:rPr>
          <w:iCs/>
          <w:color w:val="333333"/>
          <w:szCs w:val="24"/>
          <w:lang w:val="fr-FR" w:eastAsia="fr-FR"/>
        </w:rPr>
      </w:pPr>
      <w:r w:rsidRPr="00901AA4">
        <w:rPr>
          <w:szCs w:val="24"/>
          <w:lang w:val="fr-FR"/>
        </w:rPr>
        <w:t>Les manifestations d’intérêt placées dans une enveloppe cachetée et indiquant la référence de la publication doivent être déposées</w:t>
      </w:r>
      <w:r w:rsidRPr="00901AA4">
        <w:rPr>
          <w:b/>
          <w:szCs w:val="24"/>
          <w:lang w:val="fr-FR"/>
        </w:rPr>
        <w:t xml:space="preserve"> au plus tard le </w:t>
      </w:r>
      <w:r w:rsidR="00CD5ACE" w:rsidRPr="00901AA4">
        <w:rPr>
          <w:b/>
          <w:szCs w:val="24"/>
          <w:lang w:val="fr-FR"/>
        </w:rPr>
        <w:t>1</w:t>
      </w:r>
      <w:r w:rsidR="00901AA4" w:rsidRPr="00901AA4">
        <w:rPr>
          <w:b/>
          <w:szCs w:val="24"/>
          <w:lang w:val="fr-FR"/>
        </w:rPr>
        <w:t>9</w:t>
      </w:r>
      <w:r w:rsidR="00CD5ACE" w:rsidRPr="00901AA4">
        <w:rPr>
          <w:b/>
          <w:szCs w:val="24"/>
          <w:lang w:val="fr-FR"/>
        </w:rPr>
        <w:t xml:space="preserve"> juillet </w:t>
      </w:r>
      <w:r w:rsidRPr="00901AA4">
        <w:rPr>
          <w:b/>
          <w:szCs w:val="24"/>
          <w:lang w:val="fr-FR"/>
        </w:rPr>
        <w:t>202</w:t>
      </w:r>
      <w:r w:rsidR="00CD5ACE" w:rsidRPr="00901AA4">
        <w:rPr>
          <w:b/>
          <w:szCs w:val="24"/>
          <w:lang w:val="fr-FR"/>
        </w:rPr>
        <w:t>4</w:t>
      </w:r>
      <w:r w:rsidRPr="00901AA4">
        <w:rPr>
          <w:b/>
          <w:szCs w:val="24"/>
          <w:lang w:val="fr-FR"/>
        </w:rPr>
        <w:t xml:space="preserve"> à 15h00 TU,</w:t>
      </w:r>
      <w:r w:rsidRPr="00901AA4">
        <w:rPr>
          <w:szCs w:val="24"/>
          <w:lang w:val="fr-FR"/>
        </w:rPr>
        <w:t xml:space="preserve"> à l’adresse mentionnée ci-dessous aux heures locales (TU) et jours d’ouverture des bureaux :</w:t>
      </w:r>
      <w:r w:rsidRPr="00901AA4">
        <w:rPr>
          <w:iCs/>
          <w:color w:val="333333"/>
          <w:szCs w:val="24"/>
          <w:lang w:val="fr-FR" w:eastAsia="fr-FR"/>
        </w:rPr>
        <w:t xml:space="preserve"> Coordination du Projet Brigade Verte pour l’Emploi et L’Environnement (PBVE) sis à la Cité UNICEF – Rue 192 – Porte : 267– Bamako (Mali) – Tél</w:t>
      </w:r>
      <w:r w:rsidR="00CD5ACE" w:rsidRPr="00901AA4">
        <w:rPr>
          <w:iCs/>
          <w:color w:val="333333"/>
          <w:szCs w:val="24"/>
          <w:lang w:val="fr-FR" w:eastAsia="fr-FR"/>
        </w:rPr>
        <w:t xml:space="preserve"> : </w:t>
      </w:r>
      <w:r w:rsidR="00CD5ACE" w:rsidRPr="00901AA4">
        <w:rPr>
          <w:bCs/>
          <w:szCs w:val="24"/>
        </w:rPr>
        <w:t>+223 93 23 67 44</w:t>
      </w:r>
      <w:r w:rsidRPr="00901AA4">
        <w:rPr>
          <w:iCs/>
          <w:color w:val="333333"/>
          <w:szCs w:val="24"/>
          <w:lang w:val="fr-FR" w:eastAsia="fr-FR"/>
        </w:rPr>
        <w:t xml:space="preserve"> Bamako </w:t>
      </w:r>
      <w:r w:rsidRPr="00901AA4">
        <w:rPr>
          <w:iCs/>
          <w:color w:val="333333"/>
          <w:szCs w:val="24"/>
          <w:lang w:val="fr-FR" w:eastAsia="fr-FR"/>
        </w:rPr>
        <w:lastRenderedPageBreak/>
        <w:t>– République du Mali. Les manifestations d’intérêt remises en retard ne seront pas acceptées.</w:t>
      </w:r>
    </w:p>
    <w:p w14:paraId="09D18EB6" w14:textId="77777777" w:rsidR="00584B97" w:rsidRDefault="00584B97"/>
    <w:sectPr w:rsidR="00584B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81E"/>
    <w:multiLevelType w:val="hybridMultilevel"/>
    <w:tmpl w:val="458EAA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6F52"/>
    <w:multiLevelType w:val="hybridMultilevel"/>
    <w:tmpl w:val="D37E3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5BD3"/>
    <w:multiLevelType w:val="hybridMultilevel"/>
    <w:tmpl w:val="3C20FCD2"/>
    <w:lvl w:ilvl="0" w:tplc="862CAC5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6A30280"/>
    <w:multiLevelType w:val="hybridMultilevel"/>
    <w:tmpl w:val="B3A657C8"/>
    <w:lvl w:ilvl="0" w:tplc="257E9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B3AAA"/>
    <w:multiLevelType w:val="hybridMultilevel"/>
    <w:tmpl w:val="BB4E354E"/>
    <w:lvl w:ilvl="0" w:tplc="8E12EEE8">
      <w:start w:val="1"/>
      <w:numFmt w:val="lowerLetter"/>
      <w:lvlText w:val="%1)"/>
      <w:lvlJc w:val="left"/>
      <w:pPr>
        <w:ind w:left="720" w:hanging="360"/>
      </w:pPr>
    </w:lvl>
    <w:lvl w:ilvl="1" w:tplc="340C0019">
      <w:start w:val="1"/>
      <w:numFmt w:val="lowerLetter"/>
      <w:lvlText w:val="%2."/>
      <w:lvlJc w:val="left"/>
      <w:pPr>
        <w:ind w:left="1440" w:hanging="360"/>
      </w:pPr>
    </w:lvl>
    <w:lvl w:ilvl="2" w:tplc="340C001B">
      <w:start w:val="1"/>
      <w:numFmt w:val="lowerRoman"/>
      <w:lvlText w:val="%3."/>
      <w:lvlJc w:val="right"/>
      <w:pPr>
        <w:ind w:left="2160" w:hanging="180"/>
      </w:pPr>
    </w:lvl>
    <w:lvl w:ilvl="3" w:tplc="340C000F">
      <w:start w:val="1"/>
      <w:numFmt w:val="decimal"/>
      <w:lvlText w:val="%4."/>
      <w:lvlJc w:val="left"/>
      <w:pPr>
        <w:ind w:left="2880" w:hanging="360"/>
      </w:pPr>
    </w:lvl>
    <w:lvl w:ilvl="4" w:tplc="340C0019">
      <w:start w:val="1"/>
      <w:numFmt w:val="lowerLetter"/>
      <w:lvlText w:val="%5."/>
      <w:lvlJc w:val="left"/>
      <w:pPr>
        <w:ind w:left="3600" w:hanging="360"/>
      </w:pPr>
    </w:lvl>
    <w:lvl w:ilvl="5" w:tplc="340C001B">
      <w:start w:val="1"/>
      <w:numFmt w:val="lowerRoman"/>
      <w:lvlText w:val="%6."/>
      <w:lvlJc w:val="right"/>
      <w:pPr>
        <w:ind w:left="4320" w:hanging="180"/>
      </w:pPr>
    </w:lvl>
    <w:lvl w:ilvl="6" w:tplc="340C000F">
      <w:start w:val="1"/>
      <w:numFmt w:val="decimal"/>
      <w:lvlText w:val="%7."/>
      <w:lvlJc w:val="left"/>
      <w:pPr>
        <w:ind w:left="5040" w:hanging="360"/>
      </w:pPr>
    </w:lvl>
    <w:lvl w:ilvl="7" w:tplc="340C0019">
      <w:start w:val="1"/>
      <w:numFmt w:val="lowerLetter"/>
      <w:lvlText w:val="%8."/>
      <w:lvlJc w:val="left"/>
      <w:pPr>
        <w:ind w:left="5760" w:hanging="360"/>
      </w:pPr>
    </w:lvl>
    <w:lvl w:ilvl="8" w:tplc="3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335CA"/>
    <w:multiLevelType w:val="hybridMultilevel"/>
    <w:tmpl w:val="8D84959E"/>
    <w:lvl w:ilvl="0" w:tplc="A0E026B8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37ED446A"/>
    <w:multiLevelType w:val="multilevel"/>
    <w:tmpl w:val="AC7A2F9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5340E0E"/>
    <w:multiLevelType w:val="multilevel"/>
    <w:tmpl w:val="E2DA48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236848"/>
    <w:multiLevelType w:val="hybridMultilevel"/>
    <w:tmpl w:val="ACAE2316"/>
    <w:lvl w:ilvl="0" w:tplc="A0E02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B4AC7"/>
    <w:multiLevelType w:val="hybridMultilevel"/>
    <w:tmpl w:val="62EC6472"/>
    <w:lvl w:ilvl="0" w:tplc="A0E02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7721D"/>
    <w:multiLevelType w:val="hybridMultilevel"/>
    <w:tmpl w:val="0598F990"/>
    <w:lvl w:ilvl="0" w:tplc="C70A5B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D10F38"/>
    <w:multiLevelType w:val="hybridMultilevel"/>
    <w:tmpl w:val="7EE47786"/>
    <w:lvl w:ilvl="0" w:tplc="A0E02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02CA6"/>
    <w:multiLevelType w:val="hybridMultilevel"/>
    <w:tmpl w:val="1E90F218"/>
    <w:lvl w:ilvl="0" w:tplc="B3984FC8">
      <w:start w:val="1"/>
      <w:numFmt w:val="lowerLetter"/>
      <w:lvlText w:val="%1)"/>
      <w:lvlJc w:val="left"/>
      <w:pPr>
        <w:ind w:left="720" w:hanging="360"/>
      </w:pPr>
    </w:lvl>
    <w:lvl w:ilvl="1" w:tplc="340C0019">
      <w:start w:val="1"/>
      <w:numFmt w:val="lowerLetter"/>
      <w:lvlText w:val="%2."/>
      <w:lvlJc w:val="left"/>
      <w:pPr>
        <w:ind w:left="1440" w:hanging="360"/>
      </w:pPr>
    </w:lvl>
    <w:lvl w:ilvl="2" w:tplc="340C001B">
      <w:start w:val="1"/>
      <w:numFmt w:val="lowerRoman"/>
      <w:lvlText w:val="%3."/>
      <w:lvlJc w:val="right"/>
      <w:pPr>
        <w:ind w:left="2160" w:hanging="180"/>
      </w:pPr>
    </w:lvl>
    <w:lvl w:ilvl="3" w:tplc="340C000F">
      <w:start w:val="1"/>
      <w:numFmt w:val="decimal"/>
      <w:lvlText w:val="%4."/>
      <w:lvlJc w:val="left"/>
      <w:pPr>
        <w:ind w:left="2880" w:hanging="360"/>
      </w:pPr>
    </w:lvl>
    <w:lvl w:ilvl="4" w:tplc="340C0019">
      <w:start w:val="1"/>
      <w:numFmt w:val="lowerLetter"/>
      <w:lvlText w:val="%5."/>
      <w:lvlJc w:val="left"/>
      <w:pPr>
        <w:ind w:left="3600" w:hanging="360"/>
      </w:pPr>
    </w:lvl>
    <w:lvl w:ilvl="5" w:tplc="340C001B">
      <w:start w:val="1"/>
      <w:numFmt w:val="lowerRoman"/>
      <w:lvlText w:val="%6."/>
      <w:lvlJc w:val="right"/>
      <w:pPr>
        <w:ind w:left="4320" w:hanging="180"/>
      </w:pPr>
    </w:lvl>
    <w:lvl w:ilvl="6" w:tplc="340C000F">
      <w:start w:val="1"/>
      <w:numFmt w:val="decimal"/>
      <w:lvlText w:val="%7."/>
      <w:lvlJc w:val="left"/>
      <w:pPr>
        <w:ind w:left="5040" w:hanging="360"/>
      </w:pPr>
    </w:lvl>
    <w:lvl w:ilvl="7" w:tplc="340C0019">
      <w:start w:val="1"/>
      <w:numFmt w:val="lowerLetter"/>
      <w:lvlText w:val="%8."/>
      <w:lvlJc w:val="left"/>
      <w:pPr>
        <w:ind w:left="5760" w:hanging="360"/>
      </w:pPr>
    </w:lvl>
    <w:lvl w:ilvl="8" w:tplc="3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51C2A"/>
    <w:multiLevelType w:val="hybridMultilevel"/>
    <w:tmpl w:val="7FA8EEBE"/>
    <w:lvl w:ilvl="0" w:tplc="AA4E282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6AA3C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2B826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01AD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4E3E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86B794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E01F4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22C88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CFCA8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A5672A"/>
    <w:multiLevelType w:val="hybridMultilevel"/>
    <w:tmpl w:val="2D1AC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06F80"/>
    <w:multiLevelType w:val="hybridMultilevel"/>
    <w:tmpl w:val="C5026394"/>
    <w:lvl w:ilvl="0" w:tplc="F59043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C5A72"/>
    <w:multiLevelType w:val="hybridMultilevel"/>
    <w:tmpl w:val="5F2EEA3A"/>
    <w:lvl w:ilvl="0" w:tplc="A0E02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1953">
    <w:abstractNumId w:val="10"/>
  </w:num>
  <w:num w:numId="2" w16cid:durableId="1077170554">
    <w:abstractNumId w:val="3"/>
  </w:num>
  <w:num w:numId="3" w16cid:durableId="1396856104">
    <w:abstractNumId w:val="13"/>
  </w:num>
  <w:num w:numId="4" w16cid:durableId="1312363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708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050646">
    <w:abstractNumId w:val="14"/>
  </w:num>
  <w:num w:numId="7" w16cid:durableId="435637693">
    <w:abstractNumId w:val="0"/>
  </w:num>
  <w:num w:numId="8" w16cid:durableId="399408012">
    <w:abstractNumId w:val="15"/>
  </w:num>
  <w:num w:numId="9" w16cid:durableId="1388989498">
    <w:abstractNumId w:val="6"/>
  </w:num>
  <w:num w:numId="10" w16cid:durableId="633952285">
    <w:abstractNumId w:val="7"/>
  </w:num>
  <w:num w:numId="11" w16cid:durableId="709458578">
    <w:abstractNumId w:val="11"/>
  </w:num>
  <w:num w:numId="12" w16cid:durableId="637607201">
    <w:abstractNumId w:val="5"/>
  </w:num>
  <w:num w:numId="13" w16cid:durableId="182985538">
    <w:abstractNumId w:val="8"/>
  </w:num>
  <w:num w:numId="14" w16cid:durableId="954797395">
    <w:abstractNumId w:val="9"/>
  </w:num>
  <w:num w:numId="15" w16cid:durableId="335156868">
    <w:abstractNumId w:val="1"/>
  </w:num>
  <w:num w:numId="16" w16cid:durableId="1674184725">
    <w:abstractNumId w:val="2"/>
  </w:num>
  <w:num w:numId="17" w16cid:durableId="4296206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CC"/>
    <w:rsid w:val="00257A18"/>
    <w:rsid w:val="0029173E"/>
    <w:rsid w:val="003E4D60"/>
    <w:rsid w:val="004A2219"/>
    <w:rsid w:val="00512998"/>
    <w:rsid w:val="005150BF"/>
    <w:rsid w:val="00557D97"/>
    <w:rsid w:val="00573899"/>
    <w:rsid w:val="005843FD"/>
    <w:rsid w:val="00584B97"/>
    <w:rsid w:val="005B44CC"/>
    <w:rsid w:val="006422E8"/>
    <w:rsid w:val="00660040"/>
    <w:rsid w:val="006A4642"/>
    <w:rsid w:val="007421E7"/>
    <w:rsid w:val="00747261"/>
    <w:rsid w:val="007D2C8D"/>
    <w:rsid w:val="00837985"/>
    <w:rsid w:val="00901AA4"/>
    <w:rsid w:val="00955D67"/>
    <w:rsid w:val="00B36BA1"/>
    <w:rsid w:val="00C42FAF"/>
    <w:rsid w:val="00C94DB9"/>
    <w:rsid w:val="00CC5266"/>
    <w:rsid w:val="00CD5ACE"/>
    <w:rsid w:val="00D10875"/>
    <w:rsid w:val="00D86F9F"/>
    <w:rsid w:val="00D964EC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FEAC"/>
  <w15:chartTrackingRefBased/>
  <w15:docId w15:val="{EAB7C000-1B62-4B88-B6FC-B8F09AC5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D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le,Bullets,Paragraphe  revu,References,Bullet L1,Liste 1,List Paragraph1,List Paragraph (numbered (a)),Lapis Bulleted List,Tableau Adere,Numbered paragraph,List Paragraph-ExecSummary,List Paragraph nowy,RM1,r2,Body,IRD Bullet List"/>
    <w:basedOn w:val="Normal"/>
    <w:link w:val="ParagraphedelisteCar"/>
    <w:uiPriority w:val="34"/>
    <w:qFormat/>
    <w:rsid w:val="003E4D60"/>
    <w:pPr>
      <w:ind w:left="720"/>
      <w:contextualSpacing/>
    </w:pPr>
  </w:style>
  <w:style w:type="paragraph" w:styleId="Sansinterligne">
    <w:name w:val="No Spacing"/>
    <w:uiPriority w:val="1"/>
    <w:qFormat/>
    <w:rsid w:val="003E4D60"/>
    <w:pPr>
      <w:spacing w:after="0" w:line="240" w:lineRule="auto"/>
    </w:pPr>
    <w:rPr>
      <w:kern w:val="0"/>
      <w:lang w:val="fr-FR"/>
      <w14:ligatures w14:val="none"/>
    </w:rPr>
  </w:style>
  <w:style w:type="character" w:customStyle="1" w:styleId="ParagraphedelisteCar">
    <w:name w:val="Paragraphe de liste Car"/>
    <w:aliases w:val="Title Car,Bullets Car,Paragraphe  revu Car,References Car,Bullet L1 Car,Liste 1 Car,List Paragraph1 Car,List Paragraph (numbered (a)) Car,Lapis Bulleted List Car,Tableau Adere Car,Numbered paragraph Car,List Paragraph nowy Car"/>
    <w:link w:val="Paragraphedeliste"/>
    <w:uiPriority w:val="34"/>
    <w:qFormat/>
    <w:rsid w:val="003E4D6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848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bayediop2000@yahoo.fr</dc:creator>
  <cp:keywords/>
  <dc:description/>
  <cp:lastModifiedBy>bayediop2000@yahoo.fr</cp:lastModifiedBy>
  <cp:revision>8</cp:revision>
  <dcterms:created xsi:type="dcterms:W3CDTF">2024-06-26T12:28:00Z</dcterms:created>
  <dcterms:modified xsi:type="dcterms:W3CDTF">2024-06-27T14:55:00Z</dcterms:modified>
</cp:coreProperties>
</file>