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F1386" w14:textId="11B20FB7" w:rsidR="0041739E" w:rsidRPr="004C1D60" w:rsidRDefault="002D1940"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 xml:space="preserve"> </w:t>
      </w:r>
      <w:r w:rsidR="0041739E" w:rsidRPr="004C1D60">
        <w:rPr>
          <w:rFonts w:ascii="Times New Roman" w:eastAsia="Calibri" w:hAnsi="Times New Roman" w:cs="Times New Roman"/>
          <w:b/>
        </w:rPr>
        <w:t>RÉPUBLIQUE DU MALI</w:t>
      </w:r>
    </w:p>
    <w:p w14:paraId="15CCCDE1"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Un Peuple - Un But - Une Foi</w:t>
      </w:r>
    </w:p>
    <w:p w14:paraId="6D02EE2D"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24783274"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MINISTERE DE L’ENVIRONNEMENT, DE L’ASSAINISSEMENT ET DU DEVELOPPEMENT DURABLE</w:t>
      </w:r>
    </w:p>
    <w:p w14:paraId="32345A97" w14:textId="65EDECD0"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73A2DAB9" w14:textId="553CD4C3" w:rsidR="002F35FD" w:rsidRPr="004C1D60" w:rsidRDefault="002F35FD"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SECRETARIAT GENERAL</w:t>
      </w:r>
    </w:p>
    <w:p w14:paraId="19BB13D6" w14:textId="38F4A7CC" w:rsidR="002F35FD" w:rsidRPr="004C1D60" w:rsidRDefault="002F35FD"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1D843384" w14:textId="77777777" w:rsidR="0041739E" w:rsidRPr="004C1D60" w:rsidRDefault="0041739E" w:rsidP="0041739E">
      <w:pPr>
        <w:spacing w:after="0" w:line="240" w:lineRule="auto"/>
        <w:jc w:val="center"/>
        <w:rPr>
          <w:rFonts w:ascii="Times New Roman" w:eastAsia="Calibri" w:hAnsi="Times New Roman" w:cs="Times New Roman"/>
          <w:b/>
        </w:rPr>
      </w:pPr>
      <w:bookmarkStart w:id="0" w:name="_Hlk157424291"/>
      <w:r w:rsidRPr="004C1D60">
        <w:rPr>
          <w:rFonts w:ascii="Times New Roman" w:eastAsia="Calibri" w:hAnsi="Times New Roman" w:cs="Times New Roman"/>
          <w:b/>
        </w:rPr>
        <w:t>PROJET DE RESTAURATION DES TERRES DEGRADEES (PRTD-MALI)</w:t>
      </w:r>
    </w:p>
    <w:p w14:paraId="73B90E90"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1D70B2AF" w14:textId="7FBD3D58"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AVIS DE MANIFESTATION D’INTERETS N°0</w:t>
      </w:r>
      <w:r w:rsidR="00156BBF">
        <w:rPr>
          <w:rFonts w:ascii="Times New Roman" w:eastAsia="Calibri" w:hAnsi="Times New Roman" w:cs="Times New Roman"/>
          <w:b/>
        </w:rPr>
        <w:t>20</w:t>
      </w:r>
      <w:r w:rsidRPr="004C1D60">
        <w:rPr>
          <w:rFonts w:ascii="Times New Roman" w:eastAsia="Calibri" w:hAnsi="Times New Roman" w:cs="Times New Roman"/>
          <w:b/>
        </w:rPr>
        <w:t>/MEADD-SG/UGP-PRTD-M</w:t>
      </w:r>
      <w:r w:rsidR="00E33F81" w:rsidRPr="004C1D60">
        <w:rPr>
          <w:rFonts w:ascii="Times New Roman" w:eastAsia="Calibri" w:hAnsi="Times New Roman" w:cs="Times New Roman"/>
          <w:b/>
        </w:rPr>
        <w:t>ali</w:t>
      </w:r>
      <w:r w:rsidRPr="004C1D60">
        <w:rPr>
          <w:rFonts w:ascii="Times New Roman" w:eastAsia="Calibri" w:hAnsi="Times New Roman" w:cs="Times New Roman"/>
          <w:b/>
        </w:rPr>
        <w:t xml:space="preserve"> 2024</w:t>
      </w:r>
    </w:p>
    <w:p w14:paraId="0783AD8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61A4F89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SELECTION DE CONSULTANTS PAR LES EMPRUNTEURS DE LA BANQUE MONDIALE</w:t>
      </w:r>
    </w:p>
    <w:p w14:paraId="10E1D648"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p w14:paraId="42E653AF" w14:textId="5C6DB2DC" w:rsidR="0041739E" w:rsidRPr="004C1D60" w:rsidRDefault="0041739E" w:rsidP="00156BBF">
      <w:pPr>
        <w:spacing w:after="0" w:line="240" w:lineRule="auto"/>
        <w:jc w:val="center"/>
        <w:rPr>
          <w:rFonts w:ascii="Times New Roman" w:eastAsia="Calibri" w:hAnsi="Times New Roman" w:cs="Times New Roman"/>
          <w:b/>
        </w:rPr>
      </w:pPr>
      <w:bookmarkStart w:id="1" w:name="_Hlk159582789"/>
      <w:r w:rsidRPr="004C1D60">
        <w:rPr>
          <w:rFonts w:ascii="Times New Roman" w:eastAsia="Calibri" w:hAnsi="Times New Roman" w:cs="Times New Roman"/>
          <w:b/>
        </w:rPr>
        <w:t xml:space="preserve">SELECTION D’UN </w:t>
      </w:r>
      <w:r w:rsidR="00156BBF" w:rsidRPr="00156BBF">
        <w:rPr>
          <w:rFonts w:ascii="Times New Roman" w:eastAsia="Calibri" w:hAnsi="Times New Roman" w:cs="Times New Roman"/>
          <w:b/>
        </w:rPr>
        <w:t>BUREAU D’ETUDES POUR L'ELABORATION DE LA R-PP DE LA REDD+ DU MALI</w:t>
      </w:r>
    </w:p>
    <w:p w14:paraId="19253E03" w14:textId="77777777" w:rsidR="0041739E" w:rsidRPr="004C1D60" w:rsidRDefault="0041739E" w:rsidP="0041739E">
      <w:pPr>
        <w:spacing w:after="0" w:line="240" w:lineRule="auto"/>
        <w:jc w:val="center"/>
        <w:rPr>
          <w:rFonts w:ascii="Times New Roman" w:eastAsia="Calibri" w:hAnsi="Times New Roman" w:cs="Times New Roman"/>
          <w:b/>
        </w:rPr>
      </w:pPr>
      <w:r w:rsidRPr="004C1D60">
        <w:rPr>
          <w:rFonts w:ascii="Times New Roman" w:eastAsia="Calibri" w:hAnsi="Times New Roman" w:cs="Times New Roman"/>
          <w:b/>
        </w:rPr>
        <w:t>----------------**----------------</w:t>
      </w:r>
    </w:p>
    <w:bookmarkEnd w:id="0"/>
    <w:bookmarkEnd w:id="1"/>
    <w:p w14:paraId="44C8BFF9"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4C1D60">
        <w:rPr>
          <w:rFonts w:ascii="Times New Roman" w:eastAsia="Times New Roman" w:hAnsi="Times New Roman" w:cs="Times New Roman"/>
          <w:lang w:eastAsia="fr-FR"/>
        </w:rPr>
        <w:t xml:space="preserve">PAYS : </w:t>
      </w:r>
      <w:r w:rsidRPr="004C1D60">
        <w:rPr>
          <w:rFonts w:ascii="Times New Roman" w:eastAsia="Times New Roman" w:hAnsi="Times New Roman" w:cs="Times New Roman"/>
          <w:b/>
          <w:lang w:eastAsia="fr-FR"/>
        </w:rPr>
        <w:t>MALI</w:t>
      </w:r>
    </w:p>
    <w:p w14:paraId="647986DA" w14:textId="77777777" w:rsidR="0041739E" w:rsidRPr="004C1D60" w:rsidRDefault="0041739E" w:rsidP="0041739E">
      <w:pPr>
        <w:spacing w:after="0" w:line="240" w:lineRule="auto"/>
        <w:rPr>
          <w:rFonts w:ascii="Times New Roman" w:eastAsia="Calibri" w:hAnsi="Times New Roman" w:cs="Times New Roman"/>
          <w:b/>
        </w:rPr>
      </w:pPr>
      <w:r w:rsidRPr="004C1D60">
        <w:rPr>
          <w:rFonts w:ascii="Times New Roman" w:eastAsia="Times New Roman" w:hAnsi="Times New Roman" w:cs="Times New Roman"/>
          <w:lang w:eastAsia="fr-FR"/>
        </w:rPr>
        <w:t xml:space="preserve">PROJET : </w:t>
      </w:r>
      <w:r w:rsidRPr="004C1D60">
        <w:rPr>
          <w:rFonts w:ascii="Times New Roman" w:eastAsia="Calibri" w:hAnsi="Times New Roman" w:cs="Times New Roman"/>
          <w:b/>
        </w:rPr>
        <w:t>PROJET DE RESTAURATION DES TERRES DEGRADEES (PRTD-MALI)</w:t>
      </w:r>
    </w:p>
    <w:p w14:paraId="25373968"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val="fr-ML" w:eastAsia="fr-FR"/>
        </w:rPr>
      </w:pPr>
      <w:r w:rsidRPr="004C1D60">
        <w:rPr>
          <w:rFonts w:ascii="Times New Roman" w:eastAsia="Times New Roman" w:hAnsi="Times New Roman" w:cs="Times New Roman"/>
          <w:lang w:val="fr-ML" w:eastAsia="fr-FR"/>
        </w:rPr>
        <w:t xml:space="preserve">ACCORD DE FINANCEMENT N° : </w:t>
      </w:r>
      <w:r w:rsidRPr="004C1D60">
        <w:rPr>
          <w:rFonts w:ascii="Times New Roman" w:eastAsia="Times New Roman" w:hAnsi="Times New Roman" w:cs="Times New Roman"/>
          <w:b/>
          <w:bCs/>
          <w:lang w:val="fr-ML" w:eastAsia="fr-FR"/>
        </w:rPr>
        <w:t>7317-</w:t>
      </w:r>
      <w:r w:rsidRPr="004C1D60">
        <w:rPr>
          <w:rFonts w:ascii="Times New Roman" w:eastAsia="Times New Roman" w:hAnsi="Times New Roman" w:cs="Times New Roman"/>
          <w:b/>
          <w:lang w:val="fr-ML" w:eastAsia="fr-FR"/>
        </w:rPr>
        <w:t>ML</w:t>
      </w:r>
    </w:p>
    <w:p w14:paraId="52A206F3"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4C1D60">
        <w:rPr>
          <w:rFonts w:ascii="Times New Roman" w:eastAsia="Times New Roman" w:hAnsi="Times New Roman" w:cs="Times New Roman"/>
          <w:lang w:eastAsia="fr-FR"/>
        </w:rPr>
        <w:t>N° IDENTIFICATION DU PROJET </w:t>
      </w:r>
      <w:r w:rsidRPr="004C1D60">
        <w:rPr>
          <w:rFonts w:ascii="Times New Roman" w:eastAsia="Times New Roman" w:hAnsi="Times New Roman" w:cs="Times New Roman"/>
          <w:lang w:val="fr-BE" w:eastAsia="fr-FR"/>
        </w:rPr>
        <w:t xml:space="preserve">: </w:t>
      </w:r>
      <w:r w:rsidRPr="004C1D60">
        <w:rPr>
          <w:rFonts w:ascii="Times New Roman" w:eastAsia="Times New Roman" w:hAnsi="Times New Roman" w:cs="Times New Roman"/>
          <w:b/>
          <w:bCs/>
          <w:lang w:val="fr-ML" w:eastAsia="fr-FR"/>
        </w:rPr>
        <w:t>P177041</w:t>
      </w:r>
    </w:p>
    <w:p w14:paraId="2CF16CA6" w14:textId="77777777" w:rsidR="0041739E" w:rsidRPr="004C1D60" w:rsidRDefault="0041739E" w:rsidP="0041739E">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44E1E403" w14:textId="77777777" w:rsidR="0041739E" w:rsidRPr="004C1D60" w:rsidRDefault="0041739E" w:rsidP="0041739E">
      <w:pPr>
        <w:ind w:left="-142"/>
        <w:jc w:val="both"/>
        <w:rPr>
          <w:rFonts w:ascii="Times New Roman" w:eastAsia="Times New Roman" w:hAnsi="Times New Roman" w:cs="Times New Roman"/>
          <w:lang w:val="fr-BE"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4C1D60">
        <w:rPr>
          <w:rFonts w:ascii="Times New Roman" w:eastAsia="Times New Roman" w:hAnsi="Times New Roman" w:cs="Times New Roman"/>
          <w:lang w:val="fr-BE" w:eastAsia="fr-FR"/>
        </w:rPr>
        <w:t xml:space="preserve">. </w:t>
      </w:r>
    </w:p>
    <w:p w14:paraId="28F51A69" w14:textId="4E500200" w:rsidR="0041739E" w:rsidRDefault="0041739E" w:rsidP="0041739E">
      <w:pPr>
        <w:ind w:left="-142"/>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26BA2A4F" w14:textId="77777777" w:rsidR="008D625C" w:rsidRDefault="008D625C" w:rsidP="008D625C">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w:t>
      </w:r>
      <w:proofErr w:type="gramStart"/>
      <w:r w:rsidRPr="00A74277">
        <w:rPr>
          <w:rFonts w:ascii="Times New Roman" w:eastAsia="Times New Roman" w:hAnsi="Times New Roman" w:cs="Times New Roman"/>
          <w:lang w:eastAsia="fr-FR"/>
        </w:rPr>
        <w:t>zones</w:t>
      </w:r>
      <w:proofErr w:type="gramEnd"/>
      <w:r w:rsidRPr="00A74277">
        <w:rPr>
          <w:rFonts w:ascii="Times New Roman" w:eastAsia="Times New Roman" w:hAnsi="Times New Roman" w:cs="Times New Roman"/>
          <w:lang w:eastAsia="fr-FR"/>
        </w:rPr>
        <w:t xml:space="preserve"> ciblées à travers ses composantes qui sont : </w:t>
      </w:r>
    </w:p>
    <w:p w14:paraId="0CE8D5EF" w14:textId="0DD120A3" w:rsidR="008D625C" w:rsidRDefault="008D625C" w:rsidP="008D625C">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396B4504" w14:textId="765CFD89" w:rsidR="008D625C" w:rsidRDefault="008D625C" w:rsidP="008D625C">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40CCE39" w14:textId="6FCC54DF" w:rsidR="008D625C" w:rsidRPr="008D625C" w:rsidRDefault="008D625C" w:rsidP="008D625C">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6B1F44FE" w14:textId="6BC636ED" w:rsidR="008D625C" w:rsidRPr="008D625C" w:rsidRDefault="008D625C" w:rsidP="008D625C">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2E36066E" w14:textId="77777777" w:rsidR="008D625C" w:rsidRPr="008D625C" w:rsidRDefault="008D625C" w:rsidP="008D625C">
      <w:pPr>
        <w:pStyle w:val="ModelNrmlSingle"/>
        <w:spacing w:after="0"/>
        <w:rPr>
          <w:b/>
          <w:bCs/>
          <w:szCs w:val="22"/>
          <w:lang w:val="fr-FR"/>
        </w:rPr>
      </w:pPr>
    </w:p>
    <w:p w14:paraId="6E699676" w14:textId="29A6B830" w:rsidR="008D625C" w:rsidRPr="004C1D60" w:rsidRDefault="008D625C" w:rsidP="008D625C">
      <w:pPr>
        <w:ind w:left="-142"/>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50781F19" w14:textId="3BBAB952" w:rsidR="0041739E" w:rsidRPr="004C1D60" w:rsidRDefault="008D625C" w:rsidP="00156BBF">
      <w:pPr>
        <w:ind w:left="-142"/>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0041739E"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7F54BB">
        <w:rPr>
          <w:rFonts w:ascii="Times New Roman" w:eastAsia="Times New Roman" w:hAnsi="Times New Roman" w:cs="Times New Roman"/>
          <w:b/>
          <w:bCs/>
          <w:lang w:val="fr-BE" w:eastAsia="fr-FR"/>
        </w:rPr>
        <w:t>S</w:t>
      </w:r>
      <w:r w:rsidR="003F7954" w:rsidRPr="004C1D60">
        <w:rPr>
          <w:rFonts w:ascii="Times New Roman" w:eastAsia="Times New Roman" w:hAnsi="Times New Roman" w:cs="Times New Roman"/>
          <w:b/>
          <w:bCs/>
          <w:lang w:val="fr-BE" w:eastAsia="fr-FR"/>
        </w:rPr>
        <w:t>élection d’un</w:t>
      </w:r>
      <w:r w:rsidR="00156BBF" w:rsidRPr="00156BBF">
        <w:rPr>
          <w:rFonts w:ascii="Times New Roman" w:eastAsia="Times New Roman" w:hAnsi="Times New Roman" w:cs="Times New Roman"/>
          <w:b/>
          <w:bCs/>
          <w:lang w:val="fr-BE" w:eastAsia="fr-FR"/>
        </w:rPr>
        <w:t xml:space="preserve"> bureau d’études pour l'élaboration de la R-PP de la REDD+ du Mali</w:t>
      </w:r>
      <w:r w:rsidR="004C1D60" w:rsidRPr="004C1D60">
        <w:rPr>
          <w:rFonts w:ascii="Times New Roman" w:eastAsia="Times New Roman" w:hAnsi="Times New Roman" w:cs="Times New Roman"/>
          <w:b/>
          <w:bCs/>
          <w:lang w:val="fr-BE" w:eastAsia="fr-FR"/>
        </w:rPr>
        <w:t>.</w:t>
      </w:r>
      <w:r w:rsidR="0041739E" w:rsidRPr="004C1D60">
        <w:rPr>
          <w:rFonts w:ascii="Times New Roman" w:eastAsia="Times New Roman" w:hAnsi="Times New Roman" w:cs="Times New Roman"/>
          <w:lang w:val="fr-BE" w:eastAsia="fr-FR"/>
        </w:rPr>
        <w:t xml:space="preserve"> </w:t>
      </w:r>
    </w:p>
    <w:p w14:paraId="69779AE9" w14:textId="35850219" w:rsidR="004C1D60" w:rsidRPr="004C1D60" w:rsidRDefault="004C1D60" w:rsidP="004C1D60">
      <w:pPr>
        <w:ind w:right="72"/>
        <w:jc w:val="both"/>
        <w:rPr>
          <w:rFonts w:ascii="Times New Roman" w:hAnsi="Times New Roman" w:cs="Times New Roman"/>
          <w:b/>
        </w:rPr>
      </w:pPr>
      <w:r w:rsidRPr="004C1D60">
        <w:rPr>
          <w:rFonts w:ascii="Times New Roman" w:hAnsi="Times New Roman" w:cs="Times New Roman"/>
        </w:rPr>
        <w:t xml:space="preserve">L’objectif global </w:t>
      </w:r>
      <w:r w:rsidR="00156BBF" w:rsidRPr="00156BBF">
        <w:rPr>
          <w:rFonts w:ascii="Times New Roman" w:hAnsi="Times New Roman" w:cs="Times New Roman"/>
        </w:rPr>
        <w:t>est d’élaborer le Plan de Préparation à la REDD+ (R-PP) du Mali adapté au contexte actuel</w:t>
      </w:r>
      <w:r w:rsidRPr="004C1D60">
        <w:rPr>
          <w:rFonts w:ascii="Times New Roman" w:hAnsi="Times New Roman" w:cs="Times New Roman"/>
        </w:rPr>
        <w:t>.</w:t>
      </w:r>
    </w:p>
    <w:p w14:paraId="15B27322" w14:textId="25B7CDA9" w:rsidR="004C1D60" w:rsidRPr="004C1D60" w:rsidRDefault="004C1D60" w:rsidP="004C1D60">
      <w:pPr>
        <w:ind w:right="72"/>
        <w:jc w:val="both"/>
        <w:rPr>
          <w:rFonts w:ascii="Times New Roman" w:hAnsi="Times New Roman" w:cs="Times New Roman"/>
        </w:rPr>
      </w:pPr>
      <w:r w:rsidRPr="004C1D60">
        <w:rPr>
          <w:rFonts w:ascii="Times New Roman" w:hAnsi="Times New Roman" w:cs="Times New Roman"/>
        </w:rPr>
        <w:t xml:space="preserve">De façon spécifique, le </w:t>
      </w:r>
      <w:r w:rsidR="00156BBF">
        <w:rPr>
          <w:rFonts w:ascii="Times New Roman" w:hAnsi="Times New Roman" w:cs="Times New Roman"/>
        </w:rPr>
        <w:t>Bureau</w:t>
      </w:r>
      <w:r w:rsidRPr="004C1D60">
        <w:rPr>
          <w:rFonts w:ascii="Times New Roman" w:hAnsi="Times New Roman" w:cs="Times New Roman"/>
        </w:rPr>
        <w:t xml:space="preserve"> devra</w:t>
      </w:r>
      <w:r w:rsidR="0065382D">
        <w:rPr>
          <w:rFonts w:ascii="Times New Roman" w:hAnsi="Times New Roman" w:cs="Times New Roman"/>
        </w:rPr>
        <w:t xml:space="preserve"> </w:t>
      </w:r>
      <w:r w:rsidRPr="004C1D60">
        <w:rPr>
          <w:rFonts w:ascii="Times New Roman" w:hAnsi="Times New Roman" w:cs="Times New Roman"/>
        </w:rPr>
        <w:t>:</w:t>
      </w:r>
    </w:p>
    <w:p w14:paraId="76E041CE" w14:textId="2383261E" w:rsidR="00156BBF" w:rsidRPr="00156BBF" w:rsidRDefault="00156BBF" w:rsidP="00156BBF">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f</w:t>
      </w:r>
      <w:r w:rsidRPr="00156BBF">
        <w:rPr>
          <w:rFonts w:ascii="Times New Roman" w:hAnsi="Times New Roman" w:cs="Times New Roman"/>
        </w:rPr>
        <w:t>aire</w:t>
      </w:r>
      <w:proofErr w:type="gramEnd"/>
      <w:r w:rsidRPr="00156BBF">
        <w:rPr>
          <w:rFonts w:ascii="Times New Roman" w:hAnsi="Times New Roman" w:cs="Times New Roman"/>
        </w:rPr>
        <w:t xml:space="preserve"> une revue extensive des acquis du Mali en matière de potentiel REDD+ et dresser un état des lieux des progrès du pays en matière de REDD+ ;</w:t>
      </w:r>
    </w:p>
    <w:p w14:paraId="14497885" w14:textId="10314D7E" w:rsidR="00156BBF" w:rsidRPr="00156BBF" w:rsidRDefault="00156BBF" w:rsidP="00156BBF">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p</w:t>
      </w:r>
      <w:r w:rsidRPr="00156BBF">
        <w:rPr>
          <w:rFonts w:ascii="Times New Roman" w:hAnsi="Times New Roman" w:cs="Times New Roman"/>
        </w:rPr>
        <w:t>réparer</w:t>
      </w:r>
      <w:proofErr w:type="gramEnd"/>
      <w:r w:rsidRPr="00156BBF">
        <w:rPr>
          <w:rFonts w:ascii="Times New Roman" w:hAnsi="Times New Roman" w:cs="Times New Roman"/>
        </w:rPr>
        <w:t xml:space="preserve"> un plan de travail pour l’ensemble de la démarche d’élaboration de la RPP en capitalisant sur les acquis du Mali en matière de préparation à la REDD+ ;</w:t>
      </w:r>
    </w:p>
    <w:p w14:paraId="61A14362" w14:textId="3860DAB6" w:rsidR="00156BBF" w:rsidRPr="00156BBF" w:rsidRDefault="00156BBF" w:rsidP="00156BBF">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f</w:t>
      </w:r>
      <w:r w:rsidRPr="00156BBF">
        <w:rPr>
          <w:rFonts w:ascii="Times New Roman" w:hAnsi="Times New Roman" w:cs="Times New Roman"/>
        </w:rPr>
        <w:t>aire</w:t>
      </w:r>
      <w:proofErr w:type="gramEnd"/>
      <w:r w:rsidRPr="00156BBF">
        <w:rPr>
          <w:rFonts w:ascii="Times New Roman" w:hAnsi="Times New Roman" w:cs="Times New Roman"/>
        </w:rPr>
        <w:t xml:space="preserve"> une cartographie des parties prenantes clés pour la mise en œuvre du processus REDD+ au Mali et procéder aux consultations initiales de ces parties prenantes sur les thématiques et orientations stratégiques (cadre institutionnel, facteur de la déforestation et de la dégradation des forêts, options </w:t>
      </w:r>
      <w:r w:rsidRPr="00156BBF">
        <w:rPr>
          <w:rFonts w:ascii="Times New Roman" w:hAnsi="Times New Roman" w:cs="Times New Roman"/>
        </w:rPr>
        <w:lastRenderedPageBreak/>
        <w:t>stratégiques préliminaires, cohérence des politiques sectorielles, sauvegardes environnementales et sociales, bénéfices non carbone, SNSF etc.) pour le processus REDD+ au Mali ;</w:t>
      </w:r>
    </w:p>
    <w:p w14:paraId="02A2E1DE" w14:textId="57D7BBA0" w:rsidR="00156BBF" w:rsidRPr="00156BBF" w:rsidRDefault="00156BBF" w:rsidP="00156BBF">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d</w:t>
      </w:r>
      <w:r w:rsidRPr="00156BBF">
        <w:rPr>
          <w:rFonts w:ascii="Times New Roman" w:hAnsi="Times New Roman" w:cs="Times New Roman"/>
        </w:rPr>
        <w:t>éfinir</w:t>
      </w:r>
      <w:proofErr w:type="gramEnd"/>
      <w:r w:rsidRPr="00156BBF">
        <w:rPr>
          <w:rFonts w:ascii="Times New Roman" w:hAnsi="Times New Roman" w:cs="Times New Roman"/>
        </w:rPr>
        <w:t xml:space="preserve"> l’approche de mise en place des arrangements institutionnels nécessaire à la REDD+ au Mali en capitalisant autant que possible sur les dispositifs institutionnels en place et fonctionnels ;</w:t>
      </w:r>
    </w:p>
    <w:p w14:paraId="3DBFBE44" w14:textId="30EDD40F" w:rsidR="00156BBF" w:rsidRPr="00156BBF" w:rsidRDefault="00156BBF" w:rsidP="00156BBF">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d</w:t>
      </w:r>
      <w:r w:rsidRPr="00156BBF">
        <w:rPr>
          <w:rFonts w:ascii="Times New Roman" w:hAnsi="Times New Roman" w:cs="Times New Roman"/>
        </w:rPr>
        <w:t>éfinir</w:t>
      </w:r>
      <w:proofErr w:type="gramEnd"/>
      <w:r w:rsidRPr="00156BBF">
        <w:rPr>
          <w:rFonts w:ascii="Times New Roman" w:hAnsi="Times New Roman" w:cs="Times New Roman"/>
        </w:rPr>
        <w:t xml:space="preserve"> l’approche de mise en place d’un plan de communication, de consultation et de participation de toutes les parties prenantes de la conception à la mise en œuvre de la REDD+ au Mali ;</w:t>
      </w:r>
    </w:p>
    <w:p w14:paraId="7FF30E85" w14:textId="58B4BB20" w:rsidR="00156BBF" w:rsidRPr="00156BBF" w:rsidRDefault="00156BBF" w:rsidP="00156BBF">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c</w:t>
      </w:r>
      <w:r w:rsidRPr="00156BBF">
        <w:rPr>
          <w:rFonts w:ascii="Times New Roman" w:hAnsi="Times New Roman" w:cs="Times New Roman"/>
        </w:rPr>
        <w:t>onduire</w:t>
      </w:r>
      <w:proofErr w:type="gramEnd"/>
      <w:r w:rsidRPr="00156BBF">
        <w:rPr>
          <w:rFonts w:ascii="Times New Roman" w:hAnsi="Times New Roman" w:cs="Times New Roman"/>
        </w:rPr>
        <w:t xml:space="preserve"> une analyse préliminaire (en capitalisant sur l’existant) des causes de la déforestation et de la dégradation des forêts (incluant une analyse de la cohérence des politiques sectorielles dans un contexte REDD+ et l’analyse des barrières à la mise en œuvre effective des interventions REDD+) et formuler des options stratégiques préliminaires de la REDD+ au Mali ;</w:t>
      </w:r>
    </w:p>
    <w:p w14:paraId="2A80F0AA" w14:textId="279F6F0B" w:rsidR="00156BBF" w:rsidRPr="00156BBF" w:rsidRDefault="00156BBF" w:rsidP="00156BBF">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d</w:t>
      </w:r>
      <w:r w:rsidRPr="00156BBF">
        <w:rPr>
          <w:rFonts w:ascii="Times New Roman" w:hAnsi="Times New Roman" w:cs="Times New Roman"/>
        </w:rPr>
        <w:t>éfinir</w:t>
      </w:r>
      <w:proofErr w:type="gramEnd"/>
      <w:r w:rsidRPr="00156BBF">
        <w:rPr>
          <w:rFonts w:ascii="Times New Roman" w:hAnsi="Times New Roman" w:cs="Times New Roman"/>
        </w:rPr>
        <w:t xml:space="preserve"> le cadre de mise en œuvre de la REDD+ au Mali en précisant les différentes études qui seront nécessaires à conduire et ainsi que leur approche de réalisation ;</w:t>
      </w:r>
    </w:p>
    <w:p w14:paraId="2F9D7669" w14:textId="351F1370" w:rsidR="00156BBF" w:rsidRPr="00156BBF" w:rsidRDefault="00156BBF" w:rsidP="00156BBF">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j</w:t>
      </w:r>
      <w:r w:rsidRPr="00156BBF">
        <w:rPr>
          <w:rFonts w:ascii="Times New Roman" w:hAnsi="Times New Roman" w:cs="Times New Roman"/>
        </w:rPr>
        <w:t>ustifier</w:t>
      </w:r>
      <w:proofErr w:type="gramEnd"/>
      <w:r w:rsidRPr="00156BBF">
        <w:rPr>
          <w:rFonts w:ascii="Times New Roman" w:hAnsi="Times New Roman" w:cs="Times New Roman"/>
        </w:rPr>
        <w:t xml:space="preserve"> le besoin de réalisation d’une évaluation environnementale et sociale stratégique (EESS) de la stratégie nationale REDD+ ainsi que l’élaboration des TDR de l’EESS ;</w:t>
      </w:r>
    </w:p>
    <w:p w14:paraId="46D46D04" w14:textId="2BE56E2B" w:rsidR="00156BBF" w:rsidRPr="00156BBF" w:rsidRDefault="00156BBF" w:rsidP="00156BBF">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é</w:t>
      </w:r>
      <w:r w:rsidRPr="00156BBF">
        <w:rPr>
          <w:rFonts w:ascii="Times New Roman" w:hAnsi="Times New Roman" w:cs="Times New Roman"/>
        </w:rPr>
        <w:t>tablir</w:t>
      </w:r>
      <w:proofErr w:type="gramEnd"/>
      <w:r w:rsidRPr="00156BBF">
        <w:rPr>
          <w:rFonts w:ascii="Times New Roman" w:hAnsi="Times New Roman" w:cs="Times New Roman"/>
        </w:rPr>
        <w:t xml:space="preserve"> le concept méthodologique de base pour l’établissement le niveau d’émission de référence des forêts et/ou le niveau de référence des forêts du Mali ;</w:t>
      </w:r>
    </w:p>
    <w:p w14:paraId="5E67083F" w14:textId="376E76A1" w:rsidR="00156BBF" w:rsidRPr="00156BBF" w:rsidRDefault="00156BBF" w:rsidP="00156BBF">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d</w:t>
      </w:r>
      <w:r w:rsidRPr="00156BBF">
        <w:rPr>
          <w:rFonts w:ascii="Times New Roman" w:hAnsi="Times New Roman" w:cs="Times New Roman"/>
        </w:rPr>
        <w:t>éfinir</w:t>
      </w:r>
      <w:proofErr w:type="gramEnd"/>
      <w:r w:rsidRPr="00156BBF">
        <w:rPr>
          <w:rFonts w:ascii="Times New Roman" w:hAnsi="Times New Roman" w:cs="Times New Roman"/>
        </w:rPr>
        <w:t xml:space="preserve"> l’approche méthodologique du système national de surveillance des forêts, notamment, les systèmes de mesure, notification et vérification (MNV) des émissions forestières du Mali et le système de surveillance des forêts ;</w:t>
      </w:r>
    </w:p>
    <w:p w14:paraId="09DBDA6D" w14:textId="107FEB92" w:rsidR="004C1D60" w:rsidRPr="004C1D60" w:rsidRDefault="00156BBF" w:rsidP="00156BBF">
      <w:pPr>
        <w:pStyle w:val="Paragraphedeliste"/>
        <w:numPr>
          <w:ilvl w:val="0"/>
          <w:numId w:val="11"/>
        </w:numPr>
        <w:spacing w:after="0" w:line="240" w:lineRule="auto"/>
        <w:ind w:right="72"/>
        <w:jc w:val="both"/>
        <w:rPr>
          <w:rFonts w:ascii="Times New Roman" w:hAnsi="Times New Roman" w:cs="Times New Roman"/>
        </w:rPr>
      </w:pPr>
      <w:proofErr w:type="gramStart"/>
      <w:r>
        <w:rPr>
          <w:rFonts w:ascii="Times New Roman" w:hAnsi="Times New Roman" w:cs="Times New Roman"/>
        </w:rPr>
        <w:t>é</w:t>
      </w:r>
      <w:r w:rsidRPr="00156BBF">
        <w:rPr>
          <w:rFonts w:ascii="Times New Roman" w:hAnsi="Times New Roman" w:cs="Times New Roman"/>
        </w:rPr>
        <w:t>tablir</w:t>
      </w:r>
      <w:proofErr w:type="gramEnd"/>
      <w:r w:rsidRPr="00156BBF">
        <w:rPr>
          <w:rFonts w:ascii="Times New Roman" w:hAnsi="Times New Roman" w:cs="Times New Roman"/>
        </w:rPr>
        <w:t xml:space="preserve"> un budget et un plan d’action pour la mise en œuvre des activités de la préparation à la REDD+.</w:t>
      </w:r>
    </w:p>
    <w:p w14:paraId="52573E7B" w14:textId="77777777" w:rsidR="004C1D60" w:rsidRPr="004C1D60" w:rsidRDefault="004C1D60" w:rsidP="004C1D60">
      <w:pPr>
        <w:ind w:right="72"/>
        <w:jc w:val="both"/>
        <w:rPr>
          <w:rFonts w:ascii="Times New Roman" w:hAnsi="Times New Roman" w:cs="Times New Roman"/>
        </w:rPr>
      </w:pPr>
    </w:p>
    <w:p w14:paraId="7804E3B0" w14:textId="167D0474" w:rsidR="004C1D60" w:rsidRPr="004C1D60" w:rsidRDefault="0065382D" w:rsidP="004C1D60">
      <w:pPr>
        <w:ind w:right="72"/>
        <w:jc w:val="both"/>
        <w:rPr>
          <w:rFonts w:ascii="Times New Roman" w:hAnsi="Times New Roman" w:cs="Times New Roman"/>
        </w:rPr>
      </w:pPr>
      <w:r w:rsidRPr="0065382D">
        <w:rPr>
          <w:rFonts w:ascii="Times New Roman" w:hAnsi="Times New Roman" w:cs="Times New Roman"/>
        </w:rPr>
        <w:t xml:space="preserve">L’Unité de Gestion du Projet de Restauration des Terres Dégradées au Mali (PRTD – Mali), invite les consultants (bureaux,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004C1D60" w:rsidRPr="004C1D60">
        <w:rPr>
          <w:rFonts w:ascii="Times New Roman" w:hAnsi="Times New Roman" w:cs="Times New Roman"/>
        </w:rPr>
        <w:t xml:space="preserve">   </w:t>
      </w:r>
    </w:p>
    <w:p w14:paraId="02C00C6A" w14:textId="77777777" w:rsidR="004C1D60" w:rsidRPr="004C1D60" w:rsidRDefault="004C1D60" w:rsidP="004C1D60">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254EB5D6" w14:textId="5D52DC6A" w:rsidR="00FC46C7" w:rsidRPr="00CE41D7" w:rsidRDefault="00156BBF" w:rsidP="00FC46C7">
      <w:pPr>
        <w:pStyle w:val="Paragraphedeliste"/>
        <w:numPr>
          <w:ilvl w:val="0"/>
          <w:numId w:val="10"/>
        </w:numPr>
        <w:spacing w:after="0" w:line="240" w:lineRule="auto"/>
        <w:jc w:val="both"/>
        <w:rPr>
          <w:rFonts w:ascii="Times New Roman" w:hAnsi="Times New Roman" w:cs="Times New Roman"/>
        </w:rPr>
      </w:pPr>
      <w:proofErr w:type="gramStart"/>
      <w:r>
        <w:rPr>
          <w:rFonts w:ascii="Times New Roman" w:hAnsi="Times New Roman" w:cs="Times New Roman"/>
        </w:rPr>
        <w:t>d</w:t>
      </w:r>
      <w:r w:rsidRPr="00156BBF">
        <w:rPr>
          <w:rFonts w:ascii="Times New Roman" w:hAnsi="Times New Roman" w:cs="Times New Roman"/>
        </w:rPr>
        <w:t>isposer</w:t>
      </w:r>
      <w:proofErr w:type="gramEnd"/>
      <w:r w:rsidRPr="00156BBF">
        <w:rPr>
          <w:rFonts w:ascii="Times New Roman" w:hAnsi="Times New Roman" w:cs="Times New Roman"/>
        </w:rPr>
        <w:t xml:space="preserve"> de 10 ans d’expériences en tant que bureau spécialisée dans les domaines de l’environnement, de la foresterie ou de l’économie ;</w:t>
      </w:r>
      <w:r w:rsidR="00FC46C7" w:rsidRPr="00CE41D7">
        <w:rPr>
          <w:rFonts w:ascii="Times New Roman" w:hAnsi="Times New Roman" w:cs="Times New Roman"/>
        </w:rPr>
        <w:t xml:space="preserve"> </w:t>
      </w:r>
    </w:p>
    <w:p w14:paraId="57A28CF6" w14:textId="77777777" w:rsidR="00FC46C7" w:rsidRPr="00CE41D7" w:rsidRDefault="00FC46C7" w:rsidP="00FC46C7">
      <w:pPr>
        <w:pStyle w:val="Paragraphedeliste"/>
        <w:spacing w:after="0" w:line="240" w:lineRule="auto"/>
        <w:jc w:val="both"/>
        <w:rPr>
          <w:rFonts w:ascii="Times New Roman" w:hAnsi="Times New Roman" w:cs="Times New Roman"/>
        </w:rPr>
      </w:pPr>
    </w:p>
    <w:p w14:paraId="12069861" w14:textId="49D039FA" w:rsidR="00FC46C7" w:rsidRPr="00CE41D7" w:rsidRDefault="00FC46C7" w:rsidP="00FC46C7">
      <w:pPr>
        <w:pStyle w:val="Paragraphedeliste"/>
        <w:numPr>
          <w:ilvl w:val="0"/>
          <w:numId w:val="10"/>
        </w:numPr>
        <w:spacing w:after="0" w:line="240" w:lineRule="auto"/>
        <w:jc w:val="both"/>
        <w:rPr>
          <w:rFonts w:ascii="Times New Roman" w:hAnsi="Times New Roman" w:cs="Times New Roman"/>
        </w:rPr>
      </w:pPr>
      <w:proofErr w:type="gramStart"/>
      <w:r w:rsidRPr="00CE41D7">
        <w:rPr>
          <w:rFonts w:ascii="Times New Roman" w:hAnsi="Times New Roman" w:cs="Times New Roman"/>
        </w:rPr>
        <w:t>avoir</w:t>
      </w:r>
      <w:proofErr w:type="gramEnd"/>
      <w:r w:rsidRPr="00CE41D7">
        <w:rPr>
          <w:rFonts w:ascii="Times New Roman" w:hAnsi="Times New Roman" w:cs="Times New Roman"/>
        </w:rPr>
        <w:t xml:space="preserve"> réalisé </w:t>
      </w:r>
      <w:r w:rsidR="00156BBF" w:rsidRPr="00156BBF">
        <w:rPr>
          <w:rFonts w:ascii="Times New Roman" w:hAnsi="Times New Roman" w:cs="Times New Roman"/>
        </w:rPr>
        <w:t>au moins deux (02) missions similaires en matière d'élaboration de R-PP pour la REDD+</w:t>
      </w:r>
      <w:r w:rsidR="00D537F9" w:rsidRPr="00CE41D7">
        <w:rPr>
          <w:rFonts w:ascii="Times New Roman" w:hAnsi="Times New Roman" w:cs="Times New Roman"/>
        </w:rPr>
        <w:t xml:space="preserve"> au cours des </w:t>
      </w:r>
      <w:r w:rsidR="00156BBF">
        <w:rPr>
          <w:rFonts w:ascii="Times New Roman" w:hAnsi="Times New Roman" w:cs="Times New Roman"/>
        </w:rPr>
        <w:t>dix</w:t>
      </w:r>
      <w:r w:rsidR="00D537F9" w:rsidRPr="00CE41D7">
        <w:rPr>
          <w:rFonts w:ascii="Times New Roman" w:hAnsi="Times New Roman" w:cs="Times New Roman"/>
        </w:rPr>
        <w:t xml:space="preserve"> (</w:t>
      </w:r>
      <w:r w:rsidR="00156BBF">
        <w:rPr>
          <w:rFonts w:ascii="Times New Roman" w:hAnsi="Times New Roman" w:cs="Times New Roman"/>
        </w:rPr>
        <w:t>10</w:t>
      </w:r>
      <w:r w:rsidR="00D537F9" w:rsidRPr="00CE41D7">
        <w:rPr>
          <w:rFonts w:ascii="Times New Roman" w:hAnsi="Times New Roman" w:cs="Times New Roman"/>
        </w:rPr>
        <w:t>) dernières années (201</w:t>
      </w:r>
      <w:r w:rsidR="00156BBF">
        <w:rPr>
          <w:rFonts w:ascii="Times New Roman" w:hAnsi="Times New Roman" w:cs="Times New Roman"/>
        </w:rPr>
        <w:t>3</w:t>
      </w:r>
      <w:r w:rsidR="00D537F9" w:rsidRPr="00CE41D7">
        <w:rPr>
          <w:rFonts w:ascii="Times New Roman" w:hAnsi="Times New Roman" w:cs="Times New Roman"/>
        </w:rPr>
        <w:t xml:space="preserve"> à nos jours)</w:t>
      </w:r>
      <w:r w:rsidRPr="00CE41D7">
        <w:rPr>
          <w:rFonts w:ascii="Times New Roman" w:hAnsi="Times New Roman" w:cs="Times New Roman"/>
        </w:rPr>
        <w:t xml:space="preserve">; </w:t>
      </w:r>
    </w:p>
    <w:p w14:paraId="6E31CCF1" w14:textId="0C6B81FA" w:rsidR="00FC46C7" w:rsidRPr="00CE41D7" w:rsidRDefault="00FC46C7" w:rsidP="00FC46C7">
      <w:pPr>
        <w:spacing w:after="0" w:line="240" w:lineRule="auto"/>
        <w:jc w:val="both"/>
        <w:rPr>
          <w:rFonts w:ascii="Times New Roman" w:hAnsi="Times New Roman" w:cs="Times New Roman"/>
        </w:rPr>
      </w:pPr>
    </w:p>
    <w:p w14:paraId="079021A1" w14:textId="4B2C0DBA" w:rsidR="00FC46C7" w:rsidRPr="00CE41D7" w:rsidRDefault="00BB7F82" w:rsidP="00FC46C7">
      <w:pPr>
        <w:pStyle w:val="Paragraphedeliste"/>
        <w:numPr>
          <w:ilvl w:val="0"/>
          <w:numId w:val="10"/>
        </w:numPr>
        <w:spacing w:after="0" w:line="240" w:lineRule="auto"/>
        <w:jc w:val="both"/>
        <w:rPr>
          <w:rFonts w:ascii="Times New Roman" w:hAnsi="Times New Roman" w:cs="Times New Roman"/>
        </w:rPr>
      </w:pPr>
      <w:proofErr w:type="gramStart"/>
      <w:r>
        <w:rPr>
          <w:rFonts w:ascii="Times New Roman" w:hAnsi="Times New Roman" w:cs="Times New Roman"/>
        </w:rPr>
        <w:t>d</w:t>
      </w:r>
      <w:r w:rsidRPr="00BB7F82">
        <w:rPr>
          <w:rFonts w:ascii="Times New Roman" w:hAnsi="Times New Roman" w:cs="Times New Roman"/>
        </w:rPr>
        <w:t>isposer</w:t>
      </w:r>
      <w:proofErr w:type="gramEnd"/>
      <w:r w:rsidRPr="00BB7F82">
        <w:rPr>
          <w:rFonts w:ascii="Times New Roman" w:hAnsi="Times New Roman" w:cs="Times New Roman"/>
        </w:rPr>
        <w:t xml:space="preserve"> de solides connaissances dans les programmes de développement (planification, suivi, évaluation) ayant trait à la gestion des ressources naturelles et des questions sociales, des méthodes d’évaluation environnementale stratégique et des mesures de sauvegarde, ainsi que des processus de consultation multi-acteurs</w:t>
      </w:r>
      <w:r w:rsidR="00FC46C7" w:rsidRPr="00CE41D7">
        <w:rPr>
          <w:rFonts w:ascii="Times New Roman" w:hAnsi="Times New Roman" w:cs="Times New Roman"/>
        </w:rPr>
        <w:t xml:space="preserve"> ;</w:t>
      </w:r>
    </w:p>
    <w:p w14:paraId="3F66DC81" w14:textId="77777777" w:rsidR="00FC46C7" w:rsidRPr="00CE41D7" w:rsidRDefault="00FC46C7" w:rsidP="00FC46C7">
      <w:pPr>
        <w:pStyle w:val="Paragraphedeliste"/>
        <w:spacing w:after="0" w:line="240" w:lineRule="auto"/>
        <w:jc w:val="both"/>
        <w:rPr>
          <w:rFonts w:ascii="Times New Roman" w:hAnsi="Times New Roman" w:cs="Times New Roman"/>
        </w:rPr>
      </w:pPr>
    </w:p>
    <w:p w14:paraId="3CF519BE" w14:textId="2AA48463" w:rsidR="004C1D60" w:rsidRPr="00CE41D7" w:rsidRDefault="00BB7F82" w:rsidP="00083811">
      <w:pPr>
        <w:pStyle w:val="Paragraphedeliste"/>
        <w:numPr>
          <w:ilvl w:val="0"/>
          <w:numId w:val="10"/>
        </w:numPr>
        <w:spacing w:after="0" w:line="240" w:lineRule="auto"/>
        <w:jc w:val="both"/>
        <w:rPr>
          <w:rFonts w:ascii="Times New Roman" w:hAnsi="Times New Roman" w:cs="Times New Roman"/>
        </w:rPr>
      </w:pPr>
      <w:proofErr w:type="gramStart"/>
      <w:r>
        <w:rPr>
          <w:rFonts w:ascii="Times New Roman" w:hAnsi="Times New Roman" w:cs="Times New Roman"/>
        </w:rPr>
        <w:t>d</w:t>
      </w:r>
      <w:r w:rsidRPr="00BB7F82">
        <w:rPr>
          <w:rFonts w:ascii="Times New Roman" w:hAnsi="Times New Roman" w:cs="Times New Roman"/>
        </w:rPr>
        <w:t>isposer</w:t>
      </w:r>
      <w:proofErr w:type="gramEnd"/>
      <w:r w:rsidRPr="00BB7F82">
        <w:rPr>
          <w:rFonts w:ascii="Times New Roman" w:hAnsi="Times New Roman" w:cs="Times New Roman"/>
        </w:rPr>
        <w:t xml:space="preserve"> de connaissances avérées sur la politique nationale relative à la protection des données à caractère personnel et de projets et programmes</w:t>
      </w:r>
      <w:r>
        <w:rPr>
          <w:rFonts w:ascii="Times New Roman" w:hAnsi="Times New Roman" w:cs="Times New Roman"/>
        </w:rPr>
        <w:t xml:space="preserve"> </w:t>
      </w:r>
      <w:r w:rsidRPr="00BB7F82">
        <w:rPr>
          <w:rFonts w:ascii="Times New Roman" w:hAnsi="Times New Roman" w:cs="Times New Roman"/>
        </w:rPr>
        <w:t>et des compétences avérées en matière de méthodologie de suivi des changements d’utilisation des terres, la modélisation des changements futurs des guides méthodologiques du GIEC, de la télédétection, des inventaires forestiers, et de dans la conception de projet carbone</w:t>
      </w:r>
      <w:r w:rsidR="00CE41D7">
        <w:rPr>
          <w:rFonts w:ascii="Times New Roman" w:hAnsi="Times New Roman" w:cs="Times New Roman"/>
        </w:rPr>
        <w:t>.</w:t>
      </w:r>
    </w:p>
    <w:p w14:paraId="21E974C1" w14:textId="77777777" w:rsidR="004C1D60" w:rsidRPr="004C1D60" w:rsidRDefault="004C1D60" w:rsidP="004C1D60">
      <w:pPr>
        <w:pStyle w:val="Paragraphedeliste"/>
        <w:jc w:val="both"/>
        <w:rPr>
          <w:rFonts w:ascii="Times New Roman" w:hAnsi="Times New Roman" w:cs="Times New Roman"/>
        </w:rPr>
      </w:pPr>
    </w:p>
    <w:p w14:paraId="1430C4B7" w14:textId="3BEE140F" w:rsidR="004C1D60" w:rsidRPr="004C1D60" w:rsidRDefault="004C1D60" w:rsidP="004C1D60">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sidR="00085B5D">
        <w:rPr>
          <w:rFonts w:ascii="Times New Roman" w:eastAsia="Calibri" w:hAnsi="Times New Roman" w:cs="Times New Roman"/>
          <w:b/>
        </w:rPr>
        <w:t xml:space="preserve">Bureau </w:t>
      </w:r>
      <w:r w:rsidR="00447E38">
        <w:rPr>
          <w:rFonts w:ascii="Times New Roman" w:eastAsia="Calibri" w:hAnsi="Times New Roman" w:cs="Times New Roman"/>
          <w:b/>
        </w:rPr>
        <w:t>ou</w:t>
      </w:r>
      <w:r w:rsidR="00085B5D">
        <w:rPr>
          <w:rFonts w:ascii="Times New Roman" w:eastAsia="Calibri" w:hAnsi="Times New Roman" w:cs="Times New Roman"/>
          <w:b/>
        </w:rPr>
        <w:t xml:space="preserve"> groupement de bureau</w:t>
      </w:r>
      <w:r w:rsidRPr="004C1D60">
        <w:rPr>
          <w:rFonts w:ascii="Times New Roman" w:eastAsia="Calibri" w:hAnsi="Times New Roman" w:cs="Times New Roman"/>
          <w:b/>
        </w:rPr>
        <w:t>) devra fournir les pièces à conviction y afférentes (PV de réception, attestation de service fait ou bonne fin d’exécution</w:t>
      </w:r>
      <w:r w:rsidR="007F54BB">
        <w:rPr>
          <w:rFonts w:ascii="Times New Roman" w:eastAsia="Calibri" w:hAnsi="Times New Roman" w:cs="Times New Roman"/>
          <w:b/>
        </w:rPr>
        <w:t> ; les pages de gardes et de signature des contrats</w:t>
      </w:r>
      <w:r w:rsidRPr="004C1D60">
        <w:rPr>
          <w:rFonts w:ascii="Times New Roman" w:eastAsia="Calibri" w:hAnsi="Times New Roman" w:cs="Times New Roman"/>
          <w:b/>
        </w:rPr>
        <w:t>).</w:t>
      </w:r>
    </w:p>
    <w:p w14:paraId="4EDCB897" w14:textId="4A9D2A29" w:rsidR="004C1D60" w:rsidRDefault="004C1D60" w:rsidP="004C1D60">
      <w:pPr>
        <w:spacing w:line="276" w:lineRule="auto"/>
        <w:jc w:val="both"/>
        <w:rPr>
          <w:rFonts w:ascii="Times New Roman" w:hAnsi="Times New Roman" w:cs="Times New Roman"/>
        </w:rPr>
      </w:pPr>
      <w:r w:rsidRPr="004C1D60">
        <w:rPr>
          <w:rFonts w:ascii="Times New Roman" w:hAnsi="Times New Roman" w:cs="Times New Roman"/>
        </w:rPr>
        <w:t xml:space="preserve">Une short liste de trois (03) meilleurs candidats </w:t>
      </w:r>
      <w:r w:rsidR="00D537F9" w:rsidRPr="004C1D60">
        <w:rPr>
          <w:rFonts w:ascii="Times New Roman" w:hAnsi="Times New Roman" w:cs="Times New Roman"/>
        </w:rPr>
        <w:t>ser</w:t>
      </w:r>
      <w:r w:rsidR="00447E38">
        <w:rPr>
          <w:rFonts w:ascii="Times New Roman" w:hAnsi="Times New Roman" w:cs="Times New Roman"/>
        </w:rPr>
        <w:t>a</w:t>
      </w:r>
      <w:r w:rsidRPr="004C1D60">
        <w:rPr>
          <w:rFonts w:ascii="Times New Roman" w:hAnsi="Times New Roman" w:cs="Times New Roman"/>
        </w:rPr>
        <w:t xml:space="preserve"> </w:t>
      </w:r>
      <w:r w:rsidR="00D537F9" w:rsidRPr="004C1D60">
        <w:rPr>
          <w:rFonts w:ascii="Times New Roman" w:hAnsi="Times New Roman" w:cs="Times New Roman"/>
        </w:rPr>
        <w:t>établi</w:t>
      </w:r>
      <w:r w:rsidR="00447E38">
        <w:rPr>
          <w:rFonts w:ascii="Times New Roman" w:hAnsi="Times New Roman" w:cs="Times New Roman"/>
        </w:rPr>
        <w:t>e</w:t>
      </w:r>
      <w:r w:rsidRPr="004C1D60">
        <w:rPr>
          <w:rFonts w:ascii="Times New Roman" w:hAnsi="Times New Roman" w:cs="Times New Roman"/>
        </w:rPr>
        <w:t>, mais seul le consultant 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p>
    <w:p w14:paraId="54402FA2" w14:textId="79D142EC" w:rsidR="00155CB6" w:rsidRPr="004C1D60" w:rsidRDefault="00155CB6" w:rsidP="00155CB6">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la base des missions similaires dans le domaine </w:t>
      </w:r>
      <w:r>
        <w:rPr>
          <w:rFonts w:ascii="Times New Roman" w:hAnsi="Times New Roman" w:cs="Times New Roman"/>
        </w:rPr>
        <w:t xml:space="preserve">de </w:t>
      </w:r>
      <w:r w:rsidR="00886224">
        <w:rPr>
          <w:rFonts w:ascii="Times New Roman" w:hAnsi="Times New Roman" w:cs="Times New Roman"/>
        </w:rPr>
        <w:t>l</w:t>
      </w:r>
      <w:r w:rsidR="00886224" w:rsidRPr="00886224">
        <w:rPr>
          <w:rFonts w:ascii="Times New Roman" w:hAnsi="Times New Roman" w:cs="Times New Roman"/>
        </w:rPr>
        <w:t>'élaboration de R-PP pour la REDD+</w:t>
      </w:r>
      <w:r w:rsidRPr="004C1D60">
        <w:rPr>
          <w:rFonts w:ascii="Times New Roman" w:hAnsi="Times New Roman" w:cs="Times New Roman"/>
        </w:rPr>
        <w:t xml:space="preserve">. </w:t>
      </w:r>
    </w:p>
    <w:p w14:paraId="289AC339" w14:textId="3D704719" w:rsidR="00155CB6" w:rsidRPr="004C1D60" w:rsidRDefault="00155CB6" w:rsidP="00155CB6">
      <w:pPr>
        <w:spacing w:line="276" w:lineRule="auto"/>
        <w:jc w:val="both"/>
        <w:rPr>
          <w:rFonts w:ascii="Times New Roman" w:hAnsi="Times New Roman" w:cs="Times New Roman"/>
        </w:rPr>
      </w:pPr>
      <w:r w:rsidRPr="004C1D60">
        <w:rPr>
          <w:rFonts w:ascii="Times New Roman" w:hAnsi="Times New Roman" w:cs="Times New Roman"/>
        </w:rPr>
        <w:lastRenderedPageBreak/>
        <w:t>En cas d’ex éco, le consultant ayant exécuté le plus grand nombre de missions similaires pour les projets financés par la Banque mondiale sera choisi</w:t>
      </w:r>
    </w:p>
    <w:p w14:paraId="63C3D764" w14:textId="77777777" w:rsidR="004C1D60" w:rsidRPr="004C1D60" w:rsidRDefault="004C1D60" w:rsidP="004C1D60">
      <w:pPr>
        <w:pStyle w:val="NormalWeb"/>
        <w:spacing w:before="0" w:beforeAutospacing="0" w:after="0" w:afterAutospacing="0" w:line="276" w:lineRule="auto"/>
        <w:ind w:left="720"/>
        <w:jc w:val="both"/>
        <w:rPr>
          <w:b/>
          <w:bCs/>
          <w:lang w:eastAsia="en-US"/>
        </w:rPr>
      </w:pPr>
      <w:r w:rsidRPr="004C1D60">
        <w:rPr>
          <w:b/>
          <w:bCs/>
          <w:lang w:eastAsia="en-US"/>
        </w:rPr>
        <w:t>LIEU D’EXECUTION :</w:t>
      </w:r>
    </w:p>
    <w:p w14:paraId="6B2B144E" w14:textId="5C0CDB30" w:rsidR="004C1D60" w:rsidRPr="004C1D60" w:rsidRDefault="00886224" w:rsidP="004C1D60">
      <w:pPr>
        <w:spacing w:line="276" w:lineRule="auto"/>
        <w:jc w:val="both"/>
        <w:rPr>
          <w:rFonts w:ascii="Times New Roman" w:hAnsi="Times New Roman" w:cs="Times New Roman"/>
        </w:rPr>
      </w:pPr>
      <w:r>
        <w:rPr>
          <w:rFonts w:ascii="Times New Roman" w:hAnsi="Times New Roman" w:cs="Times New Roman"/>
        </w:rPr>
        <w:t>L</w:t>
      </w:r>
      <w:r w:rsidRPr="00886224">
        <w:rPr>
          <w:rFonts w:ascii="Times New Roman" w:hAnsi="Times New Roman" w:cs="Times New Roman"/>
        </w:rPr>
        <w:t>a mission se déroulera principalement à Bamako, et les déplacements à l'intérieur du pays pourront être prévus et discutés au cas par cas en fonction de la situation sécuritaire au moment des déplacements.</w:t>
      </w:r>
    </w:p>
    <w:p w14:paraId="7BADA56E" w14:textId="77777777" w:rsidR="004C1D60" w:rsidRPr="004C1D60" w:rsidRDefault="004C1D60" w:rsidP="004C1D60">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4FB0587B" w14:textId="4C71AB3E" w:rsidR="004C1D60" w:rsidRPr="004C1D60" w:rsidRDefault="007F54BB" w:rsidP="004C1D60">
      <w:pPr>
        <w:jc w:val="both"/>
        <w:rPr>
          <w:rFonts w:ascii="Times New Roman" w:hAnsi="Times New Roman" w:cs="Times New Roman"/>
        </w:rPr>
      </w:pPr>
      <w:r w:rsidRPr="007F54BB">
        <w:rPr>
          <w:rFonts w:ascii="Times New Roman" w:hAnsi="Times New Roman" w:cs="Times New Roman"/>
        </w:rPr>
        <w:t xml:space="preserve">La durée d'exécution du contrat est de 153 jours calendaire maximum soit </w:t>
      </w:r>
      <w:proofErr w:type="gramStart"/>
      <w:r w:rsidRPr="007F54BB">
        <w:rPr>
          <w:rFonts w:ascii="Times New Roman" w:hAnsi="Times New Roman" w:cs="Times New Roman"/>
        </w:rPr>
        <w:t>cinq</w:t>
      </w:r>
      <w:r w:rsidR="001042DD">
        <w:rPr>
          <w:rFonts w:ascii="Times New Roman" w:hAnsi="Times New Roman" w:cs="Times New Roman"/>
        </w:rPr>
        <w:t>(</w:t>
      </w:r>
      <w:proofErr w:type="gramEnd"/>
      <w:r w:rsidR="001042DD">
        <w:rPr>
          <w:rFonts w:ascii="Times New Roman" w:hAnsi="Times New Roman" w:cs="Times New Roman"/>
        </w:rPr>
        <w:t>05)</w:t>
      </w:r>
      <w:r w:rsidRPr="007F54BB">
        <w:rPr>
          <w:rFonts w:ascii="Times New Roman" w:hAnsi="Times New Roman" w:cs="Times New Roman"/>
        </w:rPr>
        <w:t xml:space="preserve"> mois (rapport final définitif déposé) incluant les délais d'approbation des différents rapports.</w:t>
      </w:r>
    </w:p>
    <w:p w14:paraId="0860FAE7" w14:textId="27378EA7" w:rsidR="004C1D60" w:rsidRPr="004C1D60" w:rsidRDefault="004C1D60" w:rsidP="004C1D60">
      <w:pPr>
        <w:jc w:val="both"/>
        <w:rPr>
          <w:rFonts w:ascii="Times New Roman" w:hAnsi="Times New Roman" w:cs="Times New Roman"/>
        </w:rPr>
      </w:pPr>
      <w:r w:rsidRPr="004C1D60">
        <w:rPr>
          <w:rFonts w:ascii="Times New Roman" w:hAnsi="Times New Roman" w:cs="Times New Roman"/>
        </w:rPr>
        <w:t>Il est porté à l’attention des Consultants (</w:t>
      </w:r>
      <w:r w:rsidR="00D537F9">
        <w:rPr>
          <w:rFonts w:ascii="Times New Roman" w:hAnsi="Times New Roman" w:cs="Times New Roman"/>
        </w:rPr>
        <w:t>Bureau et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sidR="007F54BB">
        <w:rPr>
          <w:rFonts w:ascii="Times New Roman" w:hAnsi="Times New Roman" w:cs="Times New Roman"/>
        </w:rPr>
        <w:t xml:space="preserve">, </w:t>
      </w:r>
      <w:r w:rsidRPr="004C1D60">
        <w:rPr>
          <w:rFonts w:ascii="Times New Roman" w:hAnsi="Times New Roman" w:cs="Times New Roman"/>
        </w:rPr>
        <w:t>Août 2018</w:t>
      </w:r>
      <w:r w:rsidR="007F54BB">
        <w:rPr>
          <w:rFonts w:ascii="Times New Roman" w:hAnsi="Times New Roman" w:cs="Times New Roman"/>
        </w:rPr>
        <w:t xml:space="preserve"> et novembre 2020</w:t>
      </w:r>
      <w:r w:rsidRPr="004C1D60">
        <w:rPr>
          <w:rFonts w:ascii="Times New Roman" w:hAnsi="Times New Roman" w:cs="Times New Roman"/>
        </w:rPr>
        <w:t>, relatives aux règles de la Banque mondiale en matière de conflit d’intérêts sont applicables.</w:t>
      </w:r>
    </w:p>
    <w:p w14:paraId="336D7259" w14:textId="3C901368" w:rsidR="004C1D60" w:rsidRPr="004C1D60" w:rsidRDefault="004C1D60" w:rsidP="004C1D60">
      <w:pPr>
        <w:jc w:val="both"/>
        <w:rPr>
          <w:rFonts w:ascii="Times New Roman" w:hAnsi="Times New Roman" w:cs="Times New Roman"/>
        </w:rPr>
      </w:pPr>
      <w:r w:rsidRPr="004C1D60">
        <w:rPr>
          <w:rFonts w:ascii="Times New Roman" w:hAnsi="Times New Roman" w:cs="Times New Roman"/>
        </w:rPr>
        <w:t xml:space="preserve">La sélection se fera suivant la méthode de </w:t>
      </w:r>
      <w:r w:rsidR="00D537F9" w:rsidRPr="00D537F9">
        <w:rPr>
          <w:rFonts w:ascii="Times New Roman" w:hAnsi="Times New Roman" w:cs="Times New Roman"/>
          <w:b/>
        </w:rPr>
        <w:t>Sélection fondée sur les qualifications du Consultant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 </w:t>
      </w:r>
    </w:p>
    <w:p w14:paraId="01B42BA4" w14:textId="77777777" w:rsidR="00F552A0" w:rsidRPr="004C1D60" w:rsidRDefault="00F552A0" w:rsidP="00F552A0">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6"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453AAE6E" w14:textId="77777777" w:rsidR="00F552A0" w:rsidRDefault="00F552A0" w:rsidP="00F552A0">
      <w:pPr>
        <w:jc w:val="both"/>
        <w:rPr>
          <w:rFonts w:ascii="Times New Roman" w:hAnsi="Times New Roman" w:cs="Times New Roman"/>
        </w:rPr>
      </w:pPr>
    </w:p>
    <w:p w14:paraId="1198E9A0" w14:textId="105919AD" w:rsidR="004C1D60" w:rsidRPr="004C1D60" w:rsidRDefault="00F552A0" w:rsidP="00F552A0">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60 36 99 99 /79 09 39 25 / 76 41 48 12 ou par email aux adresses suivantes : </w:t>
      </w:r>
      <w:hyperlink r:id="rId7" w:history="1">
        <w:r w:rsidRPr="004C1D60">
          <w:rPr>
            <w:rStyle w:val="Lienhypertexte"/>
            <w:rFonts w:ascii="Times New Roman" w:hAnsi="Times New Roman" w:cs="Times New Roman"/>
          </w:rPr>
          <w:t>diallo_madou@yahoo.fr</w:t>
        </w:r>
      </w:hyperlink>
      <w:r w:rsidRPr="004C1D60">
        <w:rPr>
          <w:rFonts w:ascii="Times New Roman" w:hAnsi="Times New Roman" w:cs="Times New Roman"/>
        </w:rPr>
        <w:t xml:space="preserve"> ou </w:t>
      </w:r>
      <w:hyperlink r:id="rId8" w:history="1">
        <w:r w:rsidRPr="004C1D60">
          <w:rPr>
            <w:rStyle w:val="Lienhypertexte"/>
            <w:rFonts w:ascii="Times New Roman" w:hAnsi="Times New Roman" w:cs="Times New Roman"/>
          </w:rPr>
          <w:t>traorekoura2002@yahoo.fr</w:t>
        </w:r>
      </w:hyperlink>
      <w:r>
        <w:rPr>
          <w:rFonts w:ascii="Times New Roman" w:hAnsi="Times New Roman" w:cs="Times New Roman"/>
        </w:rPr>
        <w:t>.</w:t>
      </w:r>
    </w:p>
    <w:p w14:paraId="31C704C5" w14:textId="5DFEFA6A" w:rsidR="004C1D60" w:rsidRPr="00F552A0" w:rsidRDefault="00F552A0" w:rsidP="004C1D60">
      <w:pPr>
        <w:jc w:val="both"/>
        <w:rPr>
          <w:rFonts w:ascii="Times New Roman" w:hAnsi="Times New Roman" w:cs="Times New Roman"/>
          <w:b/>
        </w:rPr>
      </w:pPr>
      <w:r w:rsidRPr="00F552A0">
        <w:rPr>
          <w:rFonts w:ascii="Times New Roman" w:hAnsi="Times New Roman" w:cs="Times New Roman"/>
        </w:rPr>
        <w:t xml:space="preserve">Le dossier de candidature, dont la composition est décrite ci-dessous doit être adressée à Monsieur le Coordinateur National du Projet de Restauration des Terres Dégradées portant la mention unique « </w:t>
      </w:r>
      <w:r w:rsidRPr="00F552A0">
        <w:rPr>
          <w:rFonts w:ascii="Times New Roman" w:hAnsi="Times New Roman" w:cs="Times New Roman"/>
          <w:b/>
        </w:rPr>
        <w:t>Avis à Manifestation d’Intérêt « N°0</w:t>
      </w:r>
      <w:r w:rsidR="007F54BB">
        <w:rPr>
          <w:rFonts w:ascii="Times New Roman" w:hAnsi="Times New Roman" w:cs="Times New Roman"/>
          <w:b/>
        </w:rPr>
        <w:t>20</w:t>
      </w:r>
      <w:r w:rsidRPr="00F552A0">
        <w:rPr>
          <w:rFonts w:ascii="Times New Roman" w:hAnsi="Times New Roman" w:cs="Times New Roman"/>
          <w:b/>
        </w:rPr>
        <w:t>/MEADD-SG/UGP-PRTD-Mali pour la sélection</w:t>
      </w:r>
      <w:r w:rsidR="007F54BB" w:rsidRPr="007F54BB">
        <w:rPr>
          <w:rFonts w:ascii="Times New Roman" w:hAnsi="Times New Roman" w:cs="Times New Roman"/>
          <w:b/>
        </w:rPr>
        <w:t xml:space="preserve"> d’un bureau d’études pour l'élaboration de la R-PP de la REDD+ du Mali</w:t>
      </w:r>
      <w:r w:rsidRPr="00F552A0">
        <w:rPr>
          <w:rFonts w:ascii="Times New Roman" w:hAnsi="Times New Roman" w:cs="Times New Roman"/>
          <w:b/>
        </w:rPr>
        <w:t xml:space="preserve"> » et parvenir au plus tard </w:t>
      </w:r>
      <w:r w:rsidRPr="009C4746">
        <w:rPr>
          <w:rFonts w:ascii="Times New Roman" w:hAnsi="Times New Roman" w:cs="Times New Roman"/>
          <w:b/>
        </w:rPr>
        <w:t xml:space="preserve">le </w:t>
      </w:r>
      <w:r w:rsidR="006F0ACC" w:rsidRPr="009C4746">
        <w:rPr>
          <w:rFonts w:ascii="Times New Roman" w:hAnsi="Times New Roman" w:cs="Times New Roman"/>
          <w:b/>
        </w:rPr>
        <w:t xml:space="preserve">13 juin </w:t>
      </w:r>
      <w:r w:rsidRPr="009C4746">
        <w:rPr>
          <w:rFonts w:ascii="Times New Roman" w:hAnsi="Times New Roman" w:cs="Times New Roman"/>
          <w:b/>
        </w:rPr>
        <w:t>2024 avant 16 heures sous pli fermé dans une enveloppe de format A4 au bureau de l’Unité de G</w:t>
      </w:r>
      <w:r w:rsidRPr="00F552A0">
        <w:rPr>
          <w:rFonts w:ascii="Times New Roman" w:hAnsi="Times New Roman" w:cs="Times New Roman"/>
          <w:b/>
        </w:rPr>
        <w:t>estion du PRTD-Mali sise à Hamdallaye ACI 2000 Rue 329, derrière la station SHELL non loin de la place CAN Bamako – Mali ou par email aux adresses suivantes : diallo_madou@yahoo.fr ou traorekoura2002@yahoo.fr.</w:t>
      </w:r>
      <w:r w:rsidR="004C1D60" w:rsidRPr="004C1D60">
        <w:rPr>
          <w:rFonts w:ascii="Times New Roman" w:hAnsi="Times New Roman" w:cs="Times New Roman"/>
        </w:rPr>
        <w:t xml:space="preserve">  </w:t>
      </w:r>
    </w:p>
    <w:p w14:paraId="1B547C9D" w14:textId="1A3043F5" w:rsidR="0041739E" w:rsidRPr="004C1D60" w:rsidRDefault="0041739E" w:rsidP="00831EDD">
      <w:pPr>
        <w:jc w:val="both"/>
        <w:rPr>
          <w:rFonts w:ascii="Times New Roman" w:eastAsia="Times New Roman" w:hAnsi="Times New Roman" w:cs="Times New Roman"/>
          <w:b/>
          <w:bCs/>
          <w:lang w:eastAsia="fr-FR"/>
        </w:rPr>
      </w:pPr>
    </w:p>
    <w:p w14:paraId="133D51FA" w14:textId="2FF915F1" w:rsidR="0041739E" w:rsidRPr="004C1D60" w:rsidRDefault="0041739E" w:rsidP="0041739E">
      <w:pPr>
        <w:shd w:val="clear" w:color="auto" w:fill="FFFFFF"/>
        <w:spacing w:after="0" w:line="240" w:lineRule="auto"/>
        <w:jc w:val="both"/>
        <w:rPr>
          <w:rFonts w:ascii="Times New Roman" w:eastAsia="Times New Roman" w:hAnsi="Times New Roman" w:cs="Times New Roman"/>
          <w:lang w:val="fr-ML" w:eastAsia="fr-FR"/>
        </w:rPr>
      </w:pPr>
      <w:r w:rsidRPr="004C1D60">
        <w:rPr>
          <w:rFonts w:ascii="Times New Roman" w:eastAsia="Times New Roman" w:hAnsi="Times New Roman" w:cs="Times New Roman"/>
          <w:lang w:eastAsia="fr-FR"/>
        </w:rPr>
        <w:t xml:space="preserve">                                                                                                               </w:t>
      </w:r>
      <w:r w:rsidRPr="004C1D60">
        <w:rPr>
          <w:rFonts w:ascii="Times New Roman" w:eastAsia="Times New Roman" w:hAnsi="Times New Roman" w:cs="Times New Roman"/>
          <w:lang w:val="fr-ML" w:eastAsia="fr-FR"/>
        </w:rPr>
        <w:t xml:space="preserve">Bamako, le </w:t>
      </w:r>
      <w:r w:rsidR="00F552A0">
        <w:rPr>
          <w:rFonts w:ascii="Times New Roman" w:eastAsia="Times New Roman" w:hAnsi="Times New Roman" w:cs="Times New Roman"/>
          <w:lang w:val="fr-ML" w:eastAsia="fr-FR"/>
        </w:rPr>
        <w:t>03 mai</w:t>
      </w:r>
      <w:r w:rsidRPr="004C1D60">
        <w:rPr>
          <w:rFonts w:ascii="Times New Roman" w:eastAsia="Times New Roman" w:hAnsi="Times New Roman" w:cs="Times New Roman"/>
          <w:lang w:eastAsia="fr-FR"/>
        </w:rPr>
        <w:t xml:space="preserve"> 2024 </w:t>
      </w:r>
      <w:r w:rsidRPr="004C1D60">
        <w:rPr>
          <w:rFonts w:ascii="Times New Roman" w:eastAsia="Times New Roman" w:hAnsi="Times New Roman" w:cs="Times New Roman"/>
          <w:lang w:val="fr-ML" w:eastAsia="fr-FR"/>
        </w:rPr>
        <w:t xml:space="preserve">                                                                                              </w:t>
      </w:r>
    </w:p>
    <w:p w14:paraId="327EAD7A" w14:textId="42D7F27B" w:rsidR="0041739E" w:rsidRPr="004C1D60" w:rsidRDefault="0041739E" w:rsidP="0041739E">
      <w:pPr>
        <w:tabs>
          <w:tab w:val="left" w:pos="7216"/>
        </w:tabs>
        <w:spacing w:after="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r w:rsidR="00F552A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lang w:val="fr-ML" w:eastAsia="fr-FR"/>
        </w:rPr>
        <w:t xml:space="preserve">  Le Coordinateur de l’UGP-PRTD-Mali</w:t>
      </w:r>
    </w:p>
    <w:p w14:paraId="40D1EA00" w14:textId="77777777" w:rsidR="0041739E" w:rsidRPr="004C1D60" w:rsidRDefault="0041739E" w:rsidP="0041739E">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500AE32E" w14:textId="77777777" w:rsidR="0041739E" w:rsidRPr="004C1D60" w:rsidRDefault="0041739E" w:rsidP="0041739E">
      <w:pPr>
        <w:tabs>
          <w:tab w:val="left" w:pos="7216"/>
        </w:tabs>
        <w:spacing w:after="200" w:line="276"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p w14:paraId="4E6BFF70" w14:textId="77777777" w:rsidR="0041739E" w:rsidRPr="004C1D60" w:rsidRDefault="0041739E">
      <w:pPr>
        <w:rPr>
          <w:rFonts w:ascii="Times New Roman" w:hAnsi="Times New Roman" w:cs="Times New Roman"/>
          <w:lang w:val="fr-ML"/>
        </w:rPr>
      </w:pPr>
    </w:p>
    <w:p w14:paraId="7CA88CA2" w14:textId="77777777" w:rsidR="004C1D60" w:rsidRPr="004C1D60" w:rsidRDefault="004C1D60">
      <w:pPr>
        <w:rPr>
          <w:rFonts w:ascii="Times New Roman" w:hAnsi="Times New Roman" w:cs="Times New Roman"/>
          <w:lang w:val="fr-ML"/>
        </w:rPr>
      </w:pPr>
    </w:p>
    <w:sectPr w:rsidR="004C1D60" w:rsidRPr="004C1D60" w:rsidSect="003C4B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mso8695"/>
      </v:shape>
    </w:pict>
  </w:numPicBullet>
  <w:abstractNum w:abstractNumId="0"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1"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8106B"/>
    <w:multiLevelType w:val="multilevel"/>
    <w:tmpl w:val="2322306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520" w:hanging="2160"/>
      </w:pPr>
    </w:lvl>
  </w:abstractNum>
  <w:abstractNum w:abstractNumId="5"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B6645"/>
    <w:multiLevelType w:val="multilevel"/>
    <w:tmpl w:val="89B0B41E"/>
    <w:lvl w:ilvl="0">
      <w:start w:val="1"/>
      <w:numFmt w:val="bullet"/>
      <w:lvlText w:val="-"/>
      <w:lvlJc w:val="left"/>
      <w:pPr>
        <w:tabs>
          <w:tab w:val="num" w:pos="0"/>
        </w:tabs>
        <w:ind w:left="720" w:hanging="360"/>
      </w:pPr>
      <w:rPr>
        <w:rFonts w:ascii="Bookman Old Style" w:hAnsi="Bookman Old Style" w:cs="Bookman Old Styl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666EFB"/>
    <w:multiLevelType w:val="multilevel"/>
    <w:tmpl w:val="D1600FE8"/>
    <w:lvl w:ilvl="0">
      <w:start w:val="1"/>
      <w:numFmt w:val="bullet"/>
      <w:lvlText w:val=""/>
      <w:lvlJc w:val="left"/>
      <w:pPr>
        <w:tabs>
          <w:tab w:val="num" w:pos="720"/>
        </w:tabs>
        <w:ind w:left="720" w:hanging="360"/>
      </w:pPr>
      <w:rPr>
        <w:rFonts w:ascii="Symbol" w:hAnsi="Symbol" w:cs="Symbol" w:hint="default"/>
        <w:sz w:val="20"/>
      </w:rPr>
    </w:lvl>
    <w:lvl w:ilvl="1">
      <w:start w:val="3"/>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3B4C11"/>
    <w:multiLevelType w:val="hybridMultilevel"/>
    <w:tmpl w:val="B510C4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7069834">
    <w:abstractNumId w:val="8"/>
  </w:num>
  <w:num w:numId="2" w16cid:durableId="665942503">
    <w:abstractNumId w:val="6"/>
  </w:num>
  <w:num w:numId="3" w16cid:durableId="1194270443">
    <w:abstractNumId w:val="2"/>
  </w:num>
  <w:num w:numId="4" w16cid:durableId="80950457">
    <w:abstractNumId w:val="1"/>
  </w:num>
  <w:num w:numId="5" w16cid:durableId="44527659">
    <w:abstractNumId w:val="0"/>
  </w:num>
  <w:num w:numId="6" w16cid:durableId="462577954">
    <w:abstractNumId w:val="9"/>
  </w:num>
  <w:num w:numId="7" w16cid:durableId="777532458">
    <w:abstractNumId w:val="4"/>
  </w:num>
  <w:num w:numId="8" w16cid:durableId="1864513303">
    <w:abstractNumId w:val="7"/>
  </w:num>
  <w:num w:numId="9" w16cid:durableId="1567106350">
    <w:abstractNumId w:val="11"/>
  </w:num>
  <w:num w:numId="10" w16cid:durableId="302395399">
    <w:abstractNumId w:val="10"/>
  </w:num>
  <w:num w:numId="11" w16cid:durableId="1232887907">
    <w:abstractNumId w:val="3"/>
  </w:num>
  <w:num w:numId="12" w16cid:durableId="504783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9E"/>
    <w:rsid w:val="00083811"/>
    <w:rsid w:val="00085B5D"/>
    <w:rsid w:val="000E2E8E"/>
    <w:rsid w:val="001042DD"/>
    <w:rsid w:val="00113179"/>
    <w:rsid w:val="00155CB6"/>
    <w:rsid w:val="00156BBF"/>
    <w:rsid w:val="00162563"/>
    <w:rsid w:val="001F0B7D"/>
    <w:rsid w:val="00202182"/>
    <w:rsid w:val="00206539"/>
    <w:rsid w:val="002102D1"/>
    <w:rsid w:val="00240281"/>
    <w:rsid w:val="002D1940"/>
    <w:rsid w:val="002F35FD"/>
    <w:rsid w:val="00380DE7"/>
    <w:rsid w:val="003C4B20"/>
    <w:rsid w:val="003F5647"/>
    <w:rsid w:val="003F7954"/>
    <w:rsid w:val="0041739E"/>
    <w:rsid w:val="00447E38"/>
    <w:rsid w:val="004A6A19"/>
    <w:rsid w:val="004C1D60"/>
    <w:rsid w:val="0052070B"/>
    <w:rsid w:val="005E216D"/>
    <w:rsid w:val="0063625B"/>
    <w:rsid w:val="0065382D"/>
    <w:rsid w:val="006F0ACC"/>
    <w:rsid w:val="00731DAB"/>
    <w:rsid w:val="007569D6"/>
    <w:rsid w:val="007F54BB"/>
    <w:rsid w:val="00831EDD"/>
    <w:rsid w:val="00886224"/>
    <w:rsid w:val="008D625C"/>
    <w:rsid w:val="00923053"/>
    <w:rsid w:val="00987267"/>
    <w:rsid w:val="009C4746"/>
    <w:rsid w:val="00B217F6"/>
    <w:rsid w:val="00B41B38"/>
    <w:rsid w:val="00BB7F82"/>
    <w:rsid w:val="00C93571"/>
    <w:rsid w:val="00CE41D7"/>
    <w:rsid w:val="00D01C85"/>
    <w:rsid w:val="00D537F9"/>
    <w:rsid w:val="00DC0FD8"/>
    <w:rsid w:val="00E33F81"/>
    <w:rsid w:val="00E95346"/>
    <w:rsid w:val="00E96368"/>
    <w:rsid w:val="00E96611"/>
    <w:rsid w:val="00EC61D8"/>
    <w:rsid w:val="00F552A0"/>
    <w:rsid w:val="00F70BC9"/>
    <w:rsid w:val="00FC46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B2E1"/>
  <w15:chartTrackingRefBased/>
  <w15:docId w15:val="{B1196151-78F4-4C18-9A52-5F5BB4EE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9E"/>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41739E"/>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41739E"/>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41739E"/>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41739E"/>
    <w:rPr>
      <w:kern w:val="0"/>
    </w:rPr>
  </w:style>
  <w:style w:type="character" w:styleId="Lienhypertexte">
    <w:name w:val="Hyperlink"/>
    <w:basedOn w:val="Policepardfaut"/>
    <w:uiPriority w:val="99"/>
    <w:unhideWhenUsed/>
    <w:rsid w:val="0041739E"/>
    <w:rPr>
      <w:color w:val="0563C1" w:themeColor="hyperlink"/>
      <w:u w:val="single"/>
    </w:rPr>
  </w:style>
  <w:style w:type="paragraph" w:styleId="Sansinterligne">
    <w:name w:val="No Spacing"/>
    <w:uiPriority w:val="1"/>
    <w:qFormat/>
    <w:rsid w:val="00987267"/>
    <w:pPr>
      <w:spacing w:after="0" w:line="240" w:lineRule="auto"/>
    </w:pPr>
    <w:rPr>
      <w:kern w:val="0"/>
    </w:rPr>
  </w:style>
  <w:style w:type="paragraph" w:styleId="NormalWeb">
    <w:name w:val="Normal (Web)"/>
    <w:basedOn w:val="Normal"/>
    <w:unhideWhenUsed/>
    <w:rsid w:val="004C1D60"/>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orekoura2002@yahoo.fr" TargetMode="External"/><Relationship Id="rId3" Type="http://schemas.openxmlformats.org/officeDocument/2006/relationships/styles" Target="styles.xml"/><Relationship Id="rId7" Type="http://schemas.openxmlformats.org/officeDocument/2006/relationships/hyperlink" Target="mailto:diallo_madou@yah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gmp.gov.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0184-00F7-4B62-9B5F-B1C621AC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1608</Words>
  <Characters>8846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cp:lastModifiedBy>
  <cp:revision>2</cp:revision>
  <dcterms:created xsi:type="dcterms:W3CDTF">2024-05-24T10:30:00Z</dcterms:created>
  <dcterms:modified xsi:type="dcterms:W3CDTF">2024-05-24T10:30:00Z</dcterms:modified>
</cp:coreProperties>
</file>