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34A1ED81"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w:t>
      </w:r>
      <w:r w:rsidR="00466F1B">
        <w:rPr>
          <w:rFonts w:ascii="Times New Roman" w:eastAsia="Calibri" w:hAnsi="Times New Roman" w:cs="Times New Roman"/>
          <w:b/>
        </w:rPr>
        <w:t>8</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597DEC54" w:rsidR="0001188C" w:rsidRPr="00E8768A"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r w:rsidR="00977D99" w:rsidRPr="00977D99">
        <w:rPr>
          <w:rFonts w:ascii="Times New Roman" w:eastAsia="Calibri" w:hAnsi="Times New Roman" w:cs="Times New Roman"/>
          <w:b/>
          <w:bCs/>
          <w:sz w:val="24"/>
          <w:szCs w:val="24"/>
        </w:rPr>
        <w:t xml:space="preserve">d’un Bureau ou Cabinet d’Ingénieurs Conseil pour </w:t>
      </w:r>
      <w:r w:rsidR="00977D99" w:rsidRPr="00977D99">
        <w:rPr>
          <w:rFonts w:ascii="Times New Roman" w:eastAsia="Arial Narrow" w:hAnsi="Times New Roman" w:cs="Times New Roman"/>
          <w:b/>
          <w:bCs/>
          <w:sz w:val="24"/>
          <w:szCs w:val="24"/>
        </w:rPr>
        <w:t>appuyer la mise en place et l’opérationnalisation de six (06) Fermes Agro-</w:t>
      </w:r>
      <w:r w:rsidR="00875111" w:rsidRPr="00977D99">
        <w:rPr>
          <w:rFonts w:ascii="Times New Roman" w:eastAsia="Arial Narrow" w:hAnsi="Times New Roman" w:cs="Times New Roman"/>
          <w:b/>
          <w:bCs/>
          <w:sz w:val="24"/>
          <w:szCs w:val="24"/>
        </w:rPr>
        <w:t>sylvo--</w:t>
      </w:r>
      <w:r w:rsidR="00977D99" w:rsidRPr="00977D99">
        <w:rPr>
          <w:rFonts w:ascii="Times New Roman" w:eastAsia="Arial Narrow" w:hAnsi="Times New Roman" w:cs="Times New Roman"/>
          <w:b/>
          <w:bCs/>
          <w:sz w:val="24"/>
          <w:szCs w:val="24"/>
        </w:rPr>
        <w:t>-pastorales Communautaires Intégrées (FACI)</w:t>
      </w:r>
      <w:r w:rsidR="00002C19">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703B0A59"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36748C">
        <w:rPr>
          <w:rFonts w:ascii="Times New Roman" w:eastAsia="Times New Roman" w:hAnsi="Times New Roman" w:cs="Times New Roman"/>
          <w:b/>
          <w:bCs/>
          <w:lang w:val="fr-BE" w:eastAsia="fr-FR"/>
        </w:rPr>
        <w:t xml:space="preserve">Sélection </w:t>
      </w:r>
      <w:r w:rsidR="00466F1B" w:rsidRPr="0036748C">
        <w:rPr>
          <w:rFonts w:ascii="Times New Roman" w:eastAsia="Times New Roman" w:hAnsi="Times New Roman" w:cs="Times New Roman"/>
          <w:b/>
          <w:bCs/>
          <w:lang w:val="fr-BE" w:eastAsia="fr-FR"/>
        </w:rPr>
        <w:t xml:space="preserve">d’un </w:t>
      </w:r>
      <w:r w:rsidR="0022357E">
        <w:rPr>
          <w:rFonts w:ascii="Times New Roman" w:eastAsia="Times New Roman" w:hAnsi="Times New Roman" w:cs="Times New Roman"/>
          <w:b/>
          <w:bCs/>
          <w:lang w:val="fr-BE" w:eastAsia="fr-FR"/>
        </w:rPr>
        <w:t>B</w:t>
      </w:r>
      <w:r w:rsidR="0022357E" w:rsidRPr="00CE3F07">
        <w:rPr>
          <w:rFonts w:ascii="Times New Roman" w:eastAsia="Calibri" w:hAnsi="Times New Roman" w:cs="Times New Roman"/>
          <w:b/>
          <w:bCs/>
        </w:rPr>
        <w:t>ureau</w:t>
      </w:r>
      <w:r w:rsidR="00977D99" w:rsidRPr="00CE3F07">
        <w:rPr>
          <w:rFonts w:ascii="Times New Roman" w:eastAsia="Calibri" w:hAnsi="Times New Roman" w:cs="Times New Roman"/>
          <w:b/>
          <w:bCs/>
        </w:rPr>
        <w:t xml:space="preserve"> ou Cabinet d’Ingénieurs Conseil pour </w:t>
      </w:r>
      <w:r w:rsidR="00977D99" w:rsidRPr="00CE3F07">
        <w:rPr>
          <w:rFonts w:ascii="Times New Roman" w:eastAsia="Arial Narrow" w:hAnsi="Times New Roman" w:cs="Times New Roman"/>
          <w:b/>
          <w:bCs/>
        </w:rPr>
        <w:t>appuyer la mise en place et l’opérationnalisation de six (06) Fermes Agro-</w:t>
      </w:r>
      <w:r w:rsidR="0022357E" w:rsidRPr="00CE3F07">
        <w:rPr>
          <w:rFonts w:ascii="Times New Roman" w:eastAsia="Arial Narrow" w:hAnsi="Times New Roman" w:cs="Times New Roman"/>
          <w:b/>
          <w:bCs/>
        </w:rPr>
        <w:t>sylvo-</w:t>
      </w:r>
      <w:r w:rsidR="00977D99" w:rsidRPr="00CE3F07">
        <w:rPr>
          <w:rFonts w:ascii="Times New Roman" w:eastAsia="Arial Narrow" w:hAnsi="Times New Roman" w:cs="Times New Roman"/>
          <w:b/>
          <w:bCs/>
        </w:rPr>
        <w:t>-pastorales Communautaires Intégrées (FACI)</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2E51BE71" w14:textId="5D4F0675" w:rsidR="00977D99" w:rsidRPr="0022357E" w:rsidRDefault="00157F89" w:rsidP="00977D99">
      <w:pPr>
        <w:pStyle w:val="ModelNrmlSingle"/>
        <w:spacing w:line="276" w:lineRule="auto"/>
        <w:ind w:firstLine="0"/>
        <w:rPr>
          <w:lang w:val="fr-FR"/>
        </w:rPr>
      </w:pPr>
      <w:r w:rsidRPr="00CE3F07">
        <w:rPr>
          <w:lang w:val="fr-FR"/>
        </w:rPr>
        <w:t xml:space="preserve">L’objectif général est de mobiliser un cabinet en charge de fournir une assistance </w:t>
      </w:r>
      <w:r w:rsidRPr="00CE3F07">
        <w:rPr>
          <w:szCs w:val="22"/>
          <w:lang w:val="fr-FR"/>
        </w:rPr>
        <w:t xml:space="preserve">technique </w:t>
      </w:r>
      <w:r w:rsidR="0036748C" w:rsidRPr="0036748C">
        <w:rPr>
          <w:szCs w:val="22"/>
          <w:lang w:val="fr-FR"/>
        </w:rPr>
        <w:t xml:space="preserve">pour </w:t>
      </w:r>
      <w:r w:rsidR="0036748C" w:rsidRPr="00CE3F07">
        <w:rPr>
          <w:color w:val="000000"/>
          <w:szCs w:val="22"/>
          <w:lang w:val="fr-FR"/>
        </w:rPr>
        <w:t>la</w:t>
      </w:r>
      <w:r w:rsidR="00977D99" w:rsidRPr="00CE3F07">
        <w:rPr>
          <w:color w:val="000000"/>
          <w:szCs w:val="22"/>
          <w:lang w:val="fr-FR"/>
        </w:rPr>
        <w:t xml:space="preserve"> mise en place et l’opérationnalisation de six (06) </w:t>
      </w:r>
      <w:r w:rsidR="00977D99" w:rsidRPr="00CE3F07">
        <w:rPr>
          <w:szCs w:val="22"/>
          <w:lang w:val="fr-FR"/>
        </w:rPr>
        <w:t>Fermes agro-sylvo-pastorales communautaires intégrées (FACI) dans les localités indiquées dans le tableau ci-dessous</w:t>
      </w:r>
      <w:r w:rsidR="00977D99" w:rsidRPr="00CE3F07">
        <w:rPr>
          <w:szCs w:val="22"/>
          <w:lang w:val="fr-FR"/>
        </w:rPr>
        <w:t> </w:t>
      </w:r>
      <w:r w:rsidR="00CE3F07" w:rsidRPr="0022357E">
        <w:rPr>
          <w:lang w:val="fr-FR"/>
        </w:rPr>
        <w:t>d</w:t>
      </w:r>
      <w:r w:rsidR="00CE3F07" w:rsidRPr="0022357E">
        <w:rPr>
          <w:lang w:val="fr-FR"/>
        </w:rPr>
        <w:t>ans le cadre de la Sous Composante 2.2. Amélioration de la résilience des moyens de subsistance locaux</w:t>
      </w:r>
      <w:r w:rsidR="0022357E">
        <w:rPr>
          <w:lang w:val="fr-FR"/>
        </w:rPr>
        <w:t>.</w:t>
      </w:r>
    </w:p>
    <w:tbl>
      <w:tblPr>
        <w:tblStyle w:val="Grilledutableau"/>
        <w:tblW w:w="0" w:type="auto"/>
        <w:tblLook w:val="04A0" w:firstRow="1" w:lastRow="0" w:firstColumn="1" w:lastColumn="0" w:noHBand="0" w:noVBand="1"/>
      </w:tblPr>
      <w:tblGrid>
        <w:gridCol w:w="486"/>
        <w:gridCol w:w="1663"/>
        <w:gridCol w:w="1845"/>
        <w:gridCol w:w="1806"/>
        <w:gridCol w:w="2189"/>
        <w:gridCol w:w="1782"/>
      </w:tblGrid>
      <w:tr w:rsidR="00875111" w:rsidRPr="00CE3F07" w14:paraId="34829BC4" w14:textId="77777777" w:rsidTr="00F81F54">
        <w:trPr>
          <w:tblHeader/>
        </w:trPr>
        <w:tc>
          <w:tcPr>
            <w:tcW w:w="486" w:type="dxa"/>
            <w:shd w:val="clear" w:color="auto" w:fill="D0CECE" w:themeFill="background2" w:themeFillShade="E6"/>
          </w:tcPr>
          <w:p w14:paraId="4FA48A92" w14:textId="77777777" w:rsidR="00875111" w:rsidRPr="00CE3F07" w:rsidRDefault="00875111" w:rsidP="00191AF9">
            <w:pPr>
              <w:spacing w:line="276" w:lineRule="auto"/>
              <w:rPr>
                <w:rFonts w:ascii="Times New Roman" w:hAnsi="Times New Roman" w:cs="Times New Roman"/>
                <w:b/>
                <w:bCs/>
              </w:rPr>
            </w:pPr>
            <w:r w:rsidRPr="00CE3F07">
              <w:rPr>
                <w:rFonts w:ascii="Times New Roman" w:hAnsi="Times New Roman" w:cs="Times New Roman"/>
                <w:b/>
                <w:bCs/>
              </w:rPr>
              <w:t>N°</w:t>
            </w:r>
          </w:p>
        </w:tc>
        <w:tc>
          <w:tcPr>
            <w:tcW w:w="1663" w:type="dxa"/>
            <w:shd w:val="clear" w:color="auto" w:fill="D0CECE" w:themeFill="background2" w:themeFillShade="E6"/>
          </w:tcPr>
          <w:p w14:paraId="57D75771" w14:textId="49C799CD" w:rsidR="00875111" w:rsidRPr="00CE3F07" w:rsidRDefault="00875111" w:rsidP="00191AF9">
            <w:pPr>
              <w:spacing w:line="276" w:lineRule="auto"/>
              <w:rPr>
                <w:rFonts w:ascii="Times New Roman" w:hAnsi="Times New Roman" w:cs="Times New Roman"/>
                <w:b/>
                <w:bCs/>
              </w:rPr>
            </w:pPr>
            <w:r>
              <w:rPr>
                <w:rFonts w:ascii="Times New Roman" w:hAnsi="Times New Roman" w:cs="Times New Roman"/>
                <w:b/>
                <w:bCs/>
              </w:rPr>
              <w:t>Région</w:t>
            </w:r>
          </w:p>
        </w:tc>
        <w:tc>
          <w:tcPr>
            <w:tcW w:w="1845" w:type="dxa"/>
            <w:shd w:val="clear" w:color="auto" w:fill="D0CECE" w:themeFill="background2" w:themeFillShade="E6"/>
          </w:tcPr>
          <w:p w14:paraId="7664F621" w14:textId="3EA84121" w:rsidR="00875111" w:rsidRPr="00CE3F07" w:rsidRDefault="00875111" w:rsidP="00191AF9">
            <w:pPr>
              <w:spacing w:line="276" w:lineRule="auto"/>
              <w:rPr>
                <w:rFonts w:ascii="Times New Roman" w:hAnsi="Times New Roman" w:cs="Times New Roman"/>
                <w:b/>
                <w:bCs/>
              </w:rPr>
            </w:pPr>
            <w:r w:rsidRPr="00CE3F07">
              <w:rPr>
                <w:rFonts w:ascii="Times New Roman" w:hAnsi="Times New Roman" w:cs="Times New Roman"/>
                <w:b/>
                <w:bCs/>
              </w:rPr>
              <w:t>Cercle</w:t>
            </w:r>
          </w:p>
        </w:tc>
        <w:tc>
          <w:tcPr>
            <w:tcW w:w="1806" w:type="dxa"/>
            <w:shd w:val="clear" w:color="auto" w:fill="D0CECE" w:themeFill="background2" w:themeFillShade="E6"/>
          </w:tcPr>
          <w:p w14:paraId="1A43354B" w14:textId="77777777" w:rsidR="00875111" w:rsidRPr="00CE3F07" w:rsidRDefault="00875111" w:rsidP="00191AF9">
            <w:pPr>
              <w:spacing w:line="276" w:lineRule="auto"/>
              <w:rPr>
                <w:rFonts w:ascii="Times New Roman" w:hAnsi="Times New Roman" w:cs="Times New Roman"/>
                <w:b/>
                <w:bCs/>
              </w:rPr>
            </w:pPr>
            <w:r w:rsidRPr="00CE3F07">
              <w:rPr>
                <w:rFonts w:ascii="Times New Roman" w:hAnsi="Times New Roman" w:cs="Times New Roman"/>
                <w:b/>
                <w:bCs/>
              </w:rPr>
              <w:t>Commune</w:t>
            </w:r>
          </w:p>
        </w:tc>
        <w:tc>
          <w:tcPr>
            <w:tcW w:w="2189" w:type="dxa"/>
            <w:shd w:val="clear" w:color="auto" w:fill="D0CECE" w:themeFill="background2" w:themeFillShade="E6"/>
          </w:tcPr>
          <w:p w14:paraId="1F6047E7" w14:textId="77777777" w:rsidR="00875111" w:rsidRPr="00CE3F07" w:rsidRDefault="00875111" w:rsidP="00191AF9">
            <w:pPr>
              <w:spacing w:line="276" w:lineRule="auto"/>
              <w:rPr>
                <w:rFonts w:ascii="Times New Roman" w:hAnsi="Times New Roman" w:cs="Times New Roman"/>
                <w:b/>
                <w:bCs/>
              </w:rPr>
            </w:pPr>
            <w:r w:rsidRPr="00CE3F07">
              <w:rPr>
                <w:rFonts w:ascii="Times New Roman" w:hAnsi="Times New Roman" w:cs="Times New Roman"/>
                <w:b/>
                <w:bCs/>
              </w:rPr>
              <w:t>Villages</w:t>
            </w:r>
          </w:p>
        </w:tc>
        <w:tc>
          <w:tcPr>
            <w:tcW w:w="1782" w:type="dxa"/>
            <w:shd w:val="clear" w:color="auto" w:fill="D0CECE" w:themeFill="background2" w:themeFillShade="E6"/>
          </w:tcPr>
          <w:p w14:paraId="4BB33199" w14:textId="77777777" w:rsidR="00875111" w:rsidRPr="00CE3F07" w:rsidRDefault="00875111" w:rsidP="00191AF9">
            <w:pPr>
              <w:spacing w:line="276" w:lineRule="auto"/>
              <w:jc w:val="center"/>
              <w:rPr>
                <w:rFonts w:ascii="Times New Roman" w:hAnsi="Times New Roman" w:cs="Times New Roman"/>
                <w:b/>
                <w:bCs/>
              </w:rPr>
            </w:pPr>
            <w:r w:rsidRPr="00CE3F07">
              <w:rPr>
                <w:rFonts w:ascii="Times New Roman" w:hAnsi="Times New Roman" w:cs="Times New Roman"/>
                <w:b/>
                <w:bCs/>
              </w:rPr>
              <w:t>Superficie (ha)</w:t>
            </w:r>
          </w:p>
        </w:tc>
      </w:tr>
      <w:tr w:rsidR="00875111" w:rsidRPr="00CE3F07" w14:paraId="2F38D5EE" w14:textId="77777777" w:rsidTr="00875111">
        <w:tc>
          <w:tcPr>
            <w:tcW w:w="486" w:type="dxa"/>
          </w:tcPr>
          <w:p w14:paraId="119E783C"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1</w:t>
            </w:r>
          </w:p>
        </w:tc>
        <w:tc>
          <w:tcPr>
            <w:tcW w:w="1663" w:type="dxa"/>
          </w:tcPr>
          <w:p w14:paraId="40B668B2" w14:textId="5BC1467A" w:rsidR="00875111" w:rsidRPr="00CE3F07" w:rsidRDefault="00F81F54" w:rsidP="00191AF9">
            <w:pPr>
              <w:spacing w:line="276" w:lineRule="auto"/>
              <w:rPr>
                <w:rFonts w:ascii="Times New Roman" w:hAnsi="Times New Roman" w:cs="Times New Roman"/>
              </w:rPr>
            </w:pPr>
            <w:r>
              <w:rPr>
                <w:rFonts w:ascii="Times New Roman" w:hAnsi="Times New Roman" w:cs="Times New Roman"/>
              </w:rPr>
              <w:t>Koulikoro</w:t>
            </w:r>
          </w:p>
        </w:tc>
        <w:tc>
          <w:tcPr>
            <w:tcW w:w="1845" w:type="dxa"/>
          </w:tcPr>
          <w:p w14:paraId="07775AF6" w14:textId="7B427CB0"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Ouélessébougou</w:t>
            </w:r>
          </w:p>
        </w:tc>
        <w:tc>
          <w:tcPr>
            <w:tcW w:w="1806" w:type="dxa"/>
          </w:tcPr>
          <w:p w14:paraId="08E93596"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Diallakoroba</w:t>
            </w:r>
          </w:p>
        </w:tc>
        <w:tc>
          <w:tcPr>
            <w:tcW w:w="2189" w:type="dxa"/>
          </w:tcPr>
          <w:p w14:paraId="75B96107"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Kandia</w:t>
            </w:r>
          </w:p>
        </w:tc>
        <w:tc>
          <w:tcPr>
            <w:tcW w:w="1782" w:type="dxa"/>
          </w:tcPr>
          <w:p w14:paraId="63CC49D1"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200</w:t>
            </w:r>
          </w:p>
        </w:tc>
      </w:tr>
      <w:tr w:rsidR="00875111" w:rsidRPr="00CE3F07" w14:paraId="5603D7FF" w14:textId="77777777" w:rsidTr="00875111">
        <w:tc>
          <w:tcPr>
            <w:tcW w:w="486" w:type="dxa"/>
          </w:tcPr>
          <w:p w14:paraId="3273E0BB"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2</w:t>
            </w:r>
          </w:p>
        </w:tc>
        <w:tc>
          <w:tcPr>
            <w:tcW w:w="1663" w:type="dxa"/>
          </w:tcPr>
          <w:p w14:paraId="651DE20A" w14:textId="29A32C02" w:rsidR="00875111" w:rsidRPr="00CE3F07" w:rsidRDefault="00F81F54" w:rsidP="00191AF9">
            <w:pPr>
              <w:spacing w:line="276" w:lineRule="auto"/>
              <w:rPr>
                <w:rFonts w:ascii="Times New Roman" w:hAnsi="Times New Roman" w:cs="Times New Roman"/>
              </w:rPr>
            </w:pPr>
            <w:r>
              <w:rPr>
                <w:rFonts w:ascii="Times New Roman" w:hAnsi="Times New Roman" w:cs="Times New Roman"/>
              </w:rPr>
              <w:t>Koulikoro</w:t>
            </w:r>
          </w:p>
        </w:tc>
        <w:tc>
          <w:tcPr>
            <w:tcW w:w="1845" w:type="dxa"/>
          </w:tcPr>
          <w:p w14:paraId="22813489" w14:textId="30DB38C6"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Kolokani</w:t>
            </w:r>
          </w:p>
        </w:tc>
        <w:tc>
          <w:tcPr>
            <w:tcW w:w="1806" w:type="dxa"/>
          </w:tcPr>
          <w:p w14:paraId="51C93400"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Tioribougou</w:t>
            </w:r>
          </w:p>
        </w:tc>
        <w:tc>
          <w:tcPr>
            <w:tcW w:w="2189" w:type="dxa"/>
          </w:tcPr>
          <w:p w14:paraId="2EDCC1BD"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Tioribougou</w:t>
            </w:r>
          </w:p>
        </w:tc>
        <w:tc>
          <w:tcPr>
            <w:tcW w:w="1782" w:type="dxa"/>
          </w:tcPr>
          <w:p w14:paraId="66012C0D"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100</w:t>
            </w:r>
          </w:p>
        </w:tc>
      </w:tr>
      <w:tr w:rsidR="00875111" w:rsidRPr="00CE3F07" w14:paraId="25F58E55" w14:textId="77777777" w:rsidTr="00875111">
        <w:tc>
          <w:tcPr>
            <w:tcW w:w="486" w:type="dxa"/>
          </w:tcPr>
          <w:p w14:paraId="6C823357"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3</w:t>
            </w:r>
          </w:p>
        </w:tc>
        <w:tc>
          <w:tcPr>
            <w:tcW w:w="1663" w:type="dxa"/>
          </w:tcPr>
          <w:p w14:paraId="23AAB152" w14:textId="3E539A93" w:rsidR="00875111" w:rsidRPr="00CE3F07" w:rsidRDefault="00F81F54" w:rsidP="00191AF9">
            <w:pPr>
              <w:spacing w:line="276" w:lineRule="auto"/>
              <w:rPr>
                <w:rFonts w:ascii="Times New Roman" w:hAnsi="Times New Roman" w:cs="Times New Roman"/>
              </w:rPr>
            </w:pPr>
            <w:r>
              <w:rPr>
                <w:rFonts w:ascii="Times New Roman" w:hAnsi="Times New Roman" w:cs="Times New Roman"/>
              </w:rPr>
              <w:t>Koulikoro</w:t>
            </w:r>
          </w:p>
        </w:tc>
        <w:tc>
          <w:tcPr>
            <w:tcW w:w="1845" w:type="dxa"/>
          </w:tcPr>
          <w:p w14:paraId="59F88B69" w14:textId="467578DE"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Kolokani</w:t>
            </w:r>
          </w:p>
        </w:tc>
        <w:tc>
          <w:tcPr>
            <w:tcW w:w="1806" w:type="dxa"/>
          </w:tcPr>
          <w:p w14:paraId="2F093042"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Tioribougou</w:t>
            </w:r>
          </w:p>
        </w:tc>
        <w:tc>
          <w:tcPr>
            <w:tcW w:w="2189" w:type="dxa"/>
          </w:tcPr>
          <w:p w14:paraId="0E8D2A26"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Sabakébougou</w:t>
            </w:r>
          </w:p>
        </w:tc>
        <w:tc>
          <w:tcPr>
            <w:tcW w:w="1782" w:type="dxa"/>
          </w:tcPr>
          <w:p w14:paraId="5896A2EF"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150</w:t>
            </w:r>
          </w:p>
        </w:tc>
      </w:tr>
      <w:tr w:rsidR="00875111" w:rsidRPr="00CE3F07" w14:paraId="465DF0C6" w14:textId="77777777" w:rsidTr="00875111">
        <w:tc>
          <w:tcPr>
            <w:tcW w:w="486" w:type="dxa"/>
          </w:tcPr>
          <w:p w14:paraId="58620EBF"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lastRenderedPageBreak/>
              <w:t>4</w:t>
            </w:r>
          </w:p>
        </w:tc>
        <w:tc>
          <w:tcPr>
            <w:tcW w:w="1663" w:type="dxa"/>
          </w:tcPr>
          <w:p w14:paraId="3EE09390" w14:textId="6CB33CD9" w:rsidR="00875111" w:rsidRPr="00CE3F07" w:rsidRDefault="00875111" w:rsidP="00191AF9">
            <w:pPr>
              <w:spacing w:line="276" w:lineRule="auto"/>
              <w:rPr>
                <w:rFonts w:ascii="Times New Roman" w:hAnsi="Times New Roman" w:cs="Times New Roman"/>
              </w:rPr>
            </w:pPr>
            <w:r>
              <w:rPr>
                <w:rFonts w:ascii="Times New Roman" w:hAnsi="Times New Roman" w:cs="Times New Roman"/>
              </w:rPr>
              <w:t>Ségou</w:t>
            </w:r>
          </w:p>
        </w:tc>
        <w:tc>
          <w:tcPr>
            <w:tcW w:w="1845" w:type="dxa"/>
          </w:tcPr>
          <w:p w14:paraId="44DC943F" w14:textId="66615401"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Ségou </w:t>
            </w:r>
          </w:p>
        </w:tc>
        <w:tc>
          <w:tcPr>
            <w:tcW w:w="1806" w:type="dxa"/>
          </w:tcPr>
          <w:p w14:paraId="5D300D13"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Sakoiba</w:t>
            </w:r>
          </w:p>
        </w:tc>
        <w:tc>
          <w:tcPr>
            <w:tcW w:w="2189" w:type="dxa"/>
          </w:tcPr>
          <w:p w14:paraId="17728A17"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Tieblena et Dienina</w:t>
            </w:r>
          </w:p>
        </w:tc>
        <w:tc>
          <w:tcPr>
            <w:tcW w:w="1782" w:type="dxa"/>
          </w:tcPr>
          <w:p w14:paraId="20285552"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100</w:t>
            </w:r>
          </w:p>
        </w:tc>
      </w:tr>
      <w:tr w:rsidR="00875111" w:rsidRPr="00CE3F07" w14:paraId="2834CCEE" w14:textId="77777777" w:rsidTr="00875111">
        <w:tc>
          <w:tcPr>
            <w:tcW w:w="486" w:type="dxa"/>
          </w:tcPr>
          <w:p w14:paraId="1CEAA86F"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5</w:t>
            </w:r>
          </w:p>
        </w:tc>
        <w:tc>
          <w:tcPr>
            <w:tcW w:w="1663" w:type="dxa"/>
          </w:tcPr>
          <w:p w14:paraId="6AE58949" w14:textId="6A602CD7" w:rsidR="00875111" w:rsidRPr="00CE3F07" w:rsidRDefault="00B06AB2" w:rsidP="00191AF9">
            <w:pPr>
              <w:spacing w:line="276" w:lineRule="auto"/>
              <w:rPr>
                <w:rFonts w:ascii="Times New Roman" w:hAnsi="Times New Roman" w:cs="Times New Roman"/>
              </w:rPr>
            </w:pPr>
            <w:r>
              <w:rPr>
                <w:rFonts w:ascii="Times New Roman" w:hAnsi="Times New Roman" w:cs="Times New Roman"/>
              </w:rPr>
              <w:t>Kayes</w:t>
            </w:r>
          </w:p>
        </w:tc>
        <w:tc>
          <w:tcPr>
            <w:tcW w:w="1845" w:type="dxa"/>
          </w:tcPr>
          <w:p w14:paraId="714C6F41" w14:textId="4889D60D"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Ambideby</w:t>
            </w:r>
          </w:p>
        </w:tc>
        <w:tc>
          <w:tcPr>
            <w:tcW w:w="1806" w:type="dxa"/>
          </w:tcPr>
          <w:p w14:paraId="1C551504"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Tafasirga</w:t>
            </w:r>
          </w:p>
        </w:tc>
        <w:tc>
          <w:tcPr>
            <w:tcW w:w="2189" w:type="dxa"/>
          </w:tcPr>
          <w:p w14:paraId="0713EC6F"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Gouthioubé</w:t>
            </w:r>
          </w:p>
        </w:tc>
        <w:tc>
          <w:tcPr>
            <w:tcW w:w="1782" w:type="dxa"/>
          </w:tcPr>
          <w:p w14:paraId="226217B9"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306</w:t>
            </w:r>
          </w:p>
        </w:tc>
      </w:tr>
      <w:tr w:rsidR="00875111" w:rsidRPr="00CE3F07" w14:paraId="315D16EE" w14:textId="77777777" w:rsidTr="00875111">
        <w:tc>
          <w:tcPr>
            <w:tcW w:w="486" w:type="dxa"/>
          </w:tcPr>
          <w:p w14:paraId="0CA68D32"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6</w:t>
            </w:r>
          </w:p>
        </w:tc>
        <w:tc>
          <w:tcPr>
            <w:tcW w:w="1663" w:type="dxa"/>
          </w:tcPr>
          <w:p w14:paraId="1A1D9FDF" w14:textId="7873AF6F" w:rsidR="00875111" w:rsidRPr="00CE3F07" w:rsidRDefault="00875111" w:rsidP="00191AF9">
            <w:pPr>
              <w:spacing w:line="276" w:lineRule="auto"/>
              <w:rPr>
                <w:rFonts w:ascii="Times New Roman" w:hAnsi="Times New Roman" w:cs="Times New Roman"/>
              </w:rPr>
            </w:pPr>
            <w:r>
              <w:rPr>
                <w:rFonts w:ascii="Times New Roman" w:hAnsi="Times New Roman" w:cs="Times New Roman"/>
              </w:rPr>
              <w:t>Kayes</w:t>
            </w:r>
          </w:p>
        </w:tc>
        <w:tc>
          <w:tcPr>
            <w:tcW w:w="1845" w:type="dxa"/>
          </w:tcPr>
          <w:p w14:paraId="6C837C9F" w14:textId="02D0AA30"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Kayes</w:t>
            </w:r>
          </w:p>
        </w:tc>
        <w:tc>
          <w:tcPr>
            <w:tcW w:w="1806" w:type="dxa"/>
          </w:tcPr>
          <w:p w14:paraId="0B50C837"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Hawa Dembaya</w:t>
            </w:r>
          </w:p>
        </w:tc>
        <w:tc>
          <w:tcPr>
            <w:tcW w:w="2189" w:type="dxa"/>
          </w:tcPr>
          <w:p w14:paraId="351DA18D" w14:textId="77777777" w:rsidR="00875111" w:rsidRPr="00CE3F07" w:rsidRDefault="00875111" w:rsidP="00191AF9">
            <w:pPr>
              <w:spacing w:line="276" w:lineRule="auto"/>
              <w:rPr>
                <w:rFonts w:ascii="Times New Roman" w:hAnsi="Times New Roman" w:cs="Times New Roman"/>
              </w:rPr>
            </w:pPr>
            <w:r w:rsidRPr="00CE3F07">
              <w:rPr>
                <w:rFonts w:ascii="Times New Roman" w:hAnsi="Times New Roman" w:cs="Times New Roman"/>
              </w:rPr>
              <w:t>Lomba et Fatola</w:t>
            </w:r>
          </w:p>
        </w:tc>
        <w:tc>
          <w:tcPr>
            <w:tcW w:w="1782" w:type="dxa"/>
          </w:tcPr>
          <w:p w14:paraId="4CCB6135" w14:textId="77777777" w:rsidR="00875111" w:rsidRPr="00CE3F07" w:rsidRDefault="00875111" w:rsidP="00191AF9">
            <w:pPr>
              <w:spacing w:line="276" w:lineRule="auto"/>
              <w:jc w:val="center"/>
              <w:rPr>
                <w:rFonts w:ascii="Times New Roman" w:hAnsi="Times New Roman" w:cs="Times New Roman"/>
              </w:rPr>
            </w:pPr>
            <w:r w:rsidRPr="00CE3F07">
              <w:rPr>
                <w:rFonts w:ascii="Times New Roman" w:hAnsi="Times New Roman" w:cs="Times New Roman"/>
              </w:rPr>
              <w:t>504</w:t>
            </w:r>
          </w:p>
        </w:tc>
      </w:tr>
    </w:tbl>
    <w:p w14:paraId="06217761" w14:textId="14EC7057" w:rsidR="00977D99" w:rsidRPr="004C1D60" w:rsidRDefault="00977D99" w:rsidP="00BC6485">
      <w:pPr>
        <w:ind w:right="72"/>
        <w:jc w:val="both"/>
        <w:rPr>
          <w:rFonts w:ascii="Times New Roman" w:hAnsi="Times New Roman" w:cs="Times New Roman"/>
          <w:b/>
        </w:rPr>
      </w:pPr>
    </w:p>
    <w:p w14:paraId="6EEA2829" w14:textId="00886E33" w:rsidR="00C1140D" w:rsidRDefault="00BC6485" w:rsidP="00C1140D">
      <w:pPr>
        <w:ind w:right="72"/>
        <w:jc w:val="both"/>
        <w:rPr>
          <w:rFonts w:ascii="Times New Roman" w:hAnsi="Times New Roman" w:cs="Times New Roman"/>
        </w:rPr>
      </w:pPr>
      <w:r w:rsidRPr="004C1D60">
        <w:rPr>
          <w:rFonts w:ascii="Times New Roman" w:hAnsi="Times New Roman" w:cs="Times New Roman"/>
        </w:rPr>
        <w:t xml:space="preserve">De façon spécifique, </w:t>
      </w:r>
      <w:r w:rsidR="00562024" w:rsidRPr="00562024">
        <w:rPr>
          <w:rFonts w:ascii="Times New Roman" w:hAnsi="Times New Roman" w:cs="Times New Roman"/>
        </w:rPr>
        <w:t>il s’agit de</w:t>
      </w:r>
      <w:r w:rsidR="008D303B">
        <w:rPr>
          <w:rFonts w:ascii="Times New Roman" w:hAnsi="Times New Roman" w:cs="Times New Roman"/>
        </w:rPr>
        <w:t>/d’:</w:t>
      </w:r>
    </w:p>
    <w:p w14:paraId="4CB82418" w14:textId="4D9E6D61" w:rsidR="00157F89" w:rsidRPr="0036748C" w:rsidRDefault="00157F89" w:rsidP="00157F89">
      <w:pPr>
        <w:pStyle w:val="Paragraphedeliste"/>
        <w:numPr>
          <w:ilvl w:val="0"/>
          <w:numId w:val="13"/>
        </w:numPr>
        <w:spacing w:after="0"/>
        <w:ind w:right="72"/>
        <w:jc w:val="both"/>
        <w:rPr>
          <w:rFonts w:ascii="Times New Roman" w:hAnsi="Times New Roman" w:cs="Times New Roman"/>
        </w:rPr>
      </w:pPr>
      <w:r w:rsidRPr="0036748C">
        <w:rPr>
          <w:rFonts w:ascii="Times New Roman" w:hAnsi="Times New Roman" w:cs="Times New Roman"/>
        </w:rPr>
        <w:t xml:space="preserve">réaliser un diagnostic </w:t>
      </w:r>
      <w:r w:rsidR="00977D99" w:rsidRPr="0036748C">
        <w:rPr>
          <w:rFonts w:ascii="Times New Roman" w:hAnsi="Times New Roman" w:cs="Times New Roman"/>
        </w:rPr>
        <w:t>pour c</w:t>
      </w:r>
      <w:r w:rsidR="00977D99" w:rsidRPr="00CE3F07">
        <w:rPr>
          <w:rFonts w:ascii="Times New Roman" w:eastAsia="Calibri" w:hAnsi="Times New Roman" w:cs="Times New Roman"/>
        </w:rPr>
        <w:t xml:space="preserve">ompléter les informations générales disponibles au niveau du projet concernant les 6 sites FACI retenus et </w:t>
      </w:r>
      <w:r w:rsidR="00977D99" w:rsidRPr="00875111">
        <w:rPr>
          <w:rFonts w:ascii="Times New Roman" w:eastAsia="Calibri" w:hAnsi="Times New Roman" w:cs="Times New Roman"/>
        </w:rPr>
        <w:t>produire une monographie détaillée de chaque site</w:t>
      </w:r>
      <w:r w:rsidR="00977D99" w:rsidRPr="00875111">
        <w:rPr>
          <w:rFonts w:ascii="Times New Roman" w:hAnsi="Times New Roman" w:cs="Times New Roman"/>
        </w:rPr>
        <w:t> ;</w:t>
      </w:r>
      <w:r w:rsidR="00977D99" w:rsidRPr="0036748C">
        <w:rPr>
          <w:rFonts w:ascii="Times New Roman" w:hAnsi="Times New Roman" w:cs="Times New Roman"/>
        </w:rPr>
        <w:t xml:space="preserve"> </w:t>
      </w:r>
    </w:p>
    <w:p w14:paraId="52270F59" w14:textId="33323576" w:rsidR="00977D99" w:rsidRPr="00CE3F07" w:rsidRDefault="00977D99" w:rsidP="00157F89">
      <w:pPr>
        <w:pStyle w:val="Paragraphedeliste"/>
        <w:numPr>
          <w:ilvl w:val="0"/>
          <w:numId w:val="13"/>
        </w:numPr>
        <w:spacing w:after="0"/>
        <w:ind w:right="72"/>
        <w:jc w:val="both"/>
        <w:rPr>
          <w:rFonts w:ascii="Times New Roman" w:hAnsi="Times New Roman" w:cs="Times New Roman"/>
        </w:rPr>
      </w:pPr>
      <w:r w:rsidRPr="00CE3F07">
        <w:rPr>
          <w:rFonts w:ascii="Times New Roman" w:eastAsia="Calibri" w:hAnsi="Times New Roman" w:cs="Times New Roman"/>
        </w:rPr>
        <w:t>t</w:t>
      </w:r>
      <w:r w:rsidRPr="00CE3F07">
        <w:rPr>
          <w:rFonts w:ascii="Times New Roman" w:eastAsia="Calibri" w:hAnsi="Times New Roman" w:cs="Times New Roman"/>
        </w:rPr>
        <w:t>enir des séances d’information</w:t>
      </w:r>
      <w:r w:rsidR="00875111">
        <w:rPr>
          <w:rFonts w:ascii="Times New Roman" w:eastAsia="Calibri" w:hAnsi="Times New Roman" w:cs="Times New Roman"/>
        </w:rPr>
        <w:t>s</w:t>
      </w:r>
      <w:r w:rsidRPr="00CE3F07">
        <w:rPr>
          <w:rFonts w:ascii="Times New Roman" w:eastAsia="Calibri" w:hAnsi="Times New Roman" w:cs="Times New Roman"/>
        </w:rPr>
        <w:t xml:space="preserve">, sensibilisation et échanges avec les acteurs locaux (organisations de la société civile, groupements formels ou informels de producteurs et usagers de ressources naturelles, associations féminines, etc.) pour les aider à identifier leur propre </w:t>
      </w:r>
      <w:r w:rsidRPr="0022357E">
        <w:rPr>
          <w:rFonts w:ascii="Times New Roman" w:eastAsia="Calibri" w:hAnsi="Times New Roman" w:cs="Times New Roman"/>
        </w:rPr>
        <w:t>Vision de Développement du site FACI à cours, moyen et long terme</w:t>
      </w:r>
      <w:r w:rsidRPr="00CE3F07">
        <w:rPr>
          <w:rFonts w:ascii="Times New Roman" w:eastAsia="Calibri" w:hAnsi="Times New Roman" w:cs="Times New Roman"/>
        </w:rPr>
        <w:t>, en fonction des défis auxquels ils font face et leurs besoins prioritaires</w:t>
      </w:r>
      <w:r w:rsidRPr="00CE3F07">
        <w:rPr>
          <w:rFonts w:ascii="Times New Roman" w:eastAsia="Calibri" w:hAnsi="Times New Roman" w:cs="Times New Roman"/>
        </w:rPr>
        <w:t xml:space="preserve"> ; </w:t>
      </w:r>
    </w:p>
    <w:p w14:paraId="6CC490CA" w14:textId="482067D9" w:rsidR="00977D99" w:rsidRPr="00CE3F07" w:rsidRDefault="00977D99" w:rsidP="00157F89">
      <w:pPr>
        <w:pStyle w:val="Paragraphedeliste"/>
        <w:numPr>
          <w:ilvl w:val="0"/>
          <w:numId w:val="13"/>
        </w:numPr>
        <w:spacing w:after="0"/>
        <w:ind w:right="72"/>
        <w:jc w:val="both"/>
        <w:rPr>
          <w:rFonts w:ascii="Times New Roman" w:hAnsi="Times New Roman" w:cs="Times New Roman"/>
        </w:rPr>
      </w:pPr>
      <w:r w:rsidRPr="00CE3F07">
        <w:rPr>
          <w:rFonts w:ascii="Times New Roman" w:eastAsia="Calibri" w:hAnsi="Times New Roman" w:cs="Times New Roman"/>
        </w:rPr>
        <w:t xml:space="preserve">Aider les promoteurs éligibles de chacun des 6 sites FACI dans l’identification, l’élaboration, la soumission et la budgétisation de sous-projets collectifs éligibles qui s’inscrivent dans la </w:t>
      </w:r>
      <w:r w:rsidRPr="00CE3F07">
        <w:rPr>
          <w:rFonts w:ascii="Times New Roman" w:eastAsia="Calibri" w:hAnsi="Times New Roman" w:cs="Times New Roman"/>
          <w:i/>
          <w:iCs/>
        </w:rPr>
        <w:t xml:space="preserve">Vision de Développement </w:t>
      </w:r>
      <w:r w:rsidRPr="00CE3F07">
        <w:rPr>
          <w:rFonts w:ascii="Times New Roman" w:eastAsia="Calibri" w:hAnsi="Times New Roman" w:cs="Times New Roman"/>
        </w:rPr>
        <w:t>de leur site</w:t>
      </w:r>
      <w:r w:rsidR="00875111">
        <w:rPr>
          <w:rFonts w:ascii="Times New Roman" w:eastAsia="Calibri" w:hAnsi="Times New Roman" w:cs="Times New Roman"/>
        </w:rPr>
        <w:t> ;</w:t>
      </w:r>
    </w:p>
    <w:p w14:paraId="44A41FB1" w14:textId="176C629E" w:rsidR="00977D99" w:rsidRPr="00CE3F07" w:rsidRDefault="00977D99" w:rsidP="00157F89">
      <w:pPr>
        <w:pStyle w:val="Paragraphedeliste"/>
        <w:numPr>
          <w:ilvl w:val="0"/>
          <w:numId w:val="13"/>
        </w:numPr>
        <w:spacing w:after="0"/>
        <w:ind w:right="72"/>
        <w:jc w:val="both"/>
        <w:rPr>
          <w:rFonts w:ascii="Times New Roman" w:hAnsi="Times New Roman" w:cs="Times New Roman"/>
        </w:rPr>
      </w:pPr>
      <w:r w:rsidRPr="00CE3F07">
        <w:rPr>
          <w:rFonts w:ascii="Times New Roman" w:eastAsia="Calibri" w:hAnsi="Times New Roman" w:cs="Times New Roman"/>
        </w:rPr>
        <w:t xml:space="preserve">aider les acteurs locaux de chaque site à élaborer leur propre </w:t>
      </w:r>
      <w:r w:rsidRPr="0022357E">
        <w:rPr>
          <w:rFonts w:ascii="Times New Roman" w:eastAsia="Calibri" w:hAnsi="Times New Roman" w:cs="Times New Roman"/>
        </w:rPr>
        <w:t>Plan d’Aménagement de la FACI (PAF</w:t>
      </w:r>
      <w:r w:rsidRPr="00CE3F07">
        <w:rPr>
          <w:rFonts w:ascii="Times New Roman" w:eastAsia="Calibri" w:hAnsi="Times New Roman" w:cs="Times New Roman"/>
        </w:rPr>
        <w:t>) </w:t>
      </w:r>
      <w:r w:rsidRPr="00CE3F07">
        <w:rPr>
          <w:rFonts w:ascii="Times New Roman" w:eastAsia="Calibri" w:hAnsi="Times New Roman" w:cs="Times New Roman"/>
        </w:rPr>
        <w:t>en</w:t>
      </w:r>
      <w:r w:rsidRPr="00CE3F07">
        <w:rPr>
          <w:rFonts w:ascii="Times New Roman" w:eastAsia="Calibri" w:hAnsi="Times New Roman" w:cs="Times New Roman"/>
        </w:rPr>
        <w:t xml:space="preserve"> fonction de la </w:t>
      </w:r>
      <w:r w:rsidRPr="0022357E">
        <w:rPr>
          <w:rFonts w:ascii="Times New Roman" w:eastAsia="Calibri" w:hAnsi="Times New Roman" w:cs="Times New Roman"/>
        </w:rPr>
        <w:t>Vision de Développement</w:t>
      </w:r>
      <w:r w:rsidRPr="00CE3F07">
        <w:rPr>
          <w:rFonts w:ascii="Times New Roman" w:eastAsia="Calibri" w:hAnsi="Times New Roman" w:cs="Times New Roman"/>
        </w:rPr>
        <w:t xml:space="preserve"> définie pour la FACI et en tenant compte des caractéristiques sociales, économiques et écologiques locales et des consultations ayant permis d’identifier des sous-projets</w:t>
      </w:r>
      <w:r w:rsidR="00875111">
        <w:rPr>
          <w:rFonts w:ascii="Times New Roman" w:eastAsia="Calibri" w:hAnsi="Times New Roman" w:cs="Times New Roman"/>
        </w:rPr>
        <w:t> ;</w:t>
      </w:r>
    </w:p>
    <w:p w14:paraId="46801CEC" w14:textId="5B76D589" w:rsidR="00977D99" w:rsidRPr="00CE3F07" w:rsidRDefault="00977D99" w:rsidP="00977D99">
      <w:pPr>
        <w:pStyle w:val="Paragraphedeliste"/>
        <w:numPr>
          <w:ilvl w:val="0"/>
          <w:numId w:val="13"/>
        </w:numPr>
        <w:autoSpaceDE w:val="0"/>
        <w:autoSpaceDN w:val="0"/>
        <w:adjustRightInd w:val="0"/>
        <w:spacing w:line="276" w:lineRule="auto"/>
        <w:jc w:val="both"/>
        <w:rPr>
          <w:rFonts w:ascii="Times New Roman" w:hAnsi="Times New Roman"/>
        </w:rPr>
      </w:pPr>
      <w:r w:rsidRPr="00CE3F07">
        <w:rPr>
          <w:rFonts w:ascii="Times New Roman" w:hAnsi="Times New Roman"/>
        </w:rPr>
        <w:t>d</w:t>
      </w:r>
      <w:r w:rsidRPr="00CE3F07">
        <w:rPr>
          <w:rFonts w:ascii="Times New Roman" w:hAnsi="Times New Roman"/>
        </w:rPr>
        <w:t xml:space="preserve">éfinir un système participatif et inclusif de S&amp;E, avec l’implication des promoteurs des sous-projets, permettant de collecter, analyser et transmettre les informations concernant la mise en place des FACI ; </w:t>
      </w:r>
    </w:p>
    <w:p w14:paraId="01B570AE" w14:textId="7882AE9C" w:rsidR="00977D99" w:rsidRPr="0022357E" w:rsidRDefault="00977D99" w:rsidP="00875111">
      <w:pPr>
        <w:pStyle w:val="Paragraphedeliste"/>
        <w:numPr>
          <w:ilvl w:val="0"/>
          <w:numId w:val="13"/>
        </w:numPr>
        <w:spacing w:after="0"/>
        <w:ind w:right="72"/>
        <w:jc w:val="both"/>
        <w:rPr>
          <w:rFonts w:ascii="Times New Roman" w:hAnsi="Times New Roman"/>
        </w:rPr>
      </w:pPr>
      <w:r w:rsidRPr="00CE3F07">
        <w:rPr>
          <w:rFonts w:ascii="Times New Roman" w:eastAsia="Calibri" w:hAnsi="Times New Roman" w:cs="Times New Roman"/>
        </w:rPr>
        <w:t>i</w:t>
      </w:r>
      <w:r w:rsidRPr="00CE3F07">
        <w:rPr>
          <w:rFonts w:ascii="Times New Roman" w:eastAsia="Calibri" w:hAnsi="Times New Roman" w:cs="Times New Roman"/>
        </w:rPr>
        <w:t xml:space="preserve">dentifier </w:t>
      </w:r>
      <w:r w:rsidRPr="0022357E">
        <w:rPr>
          <w:rFonts w:ascii="Times New Roman" w:hAnsi="Times New Roman"/>
        </w:rPr>
        <w:t>des indicateurs quantitatifs, en fonction de la nature des activités envisagées dans les différents sous-projets.</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67C71BA6"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w:t>
      </w:r>
      <w:r w:rsidR="00BC3D96" w:rsidRPr="0065382D">
        <w:rPr>
          <w:rFonts w:ascii="Times New Roman" w:hAnsi="Times New Roman" w:cs="Times New Roman"/>
        </w:rPr>
        <w:t>bureau,</w:t>
      </w:r>
      <w:r w:rsidR="00BC3D96">
        <w:rPr>
          <w:rFonts w:ascii="Times New Roman" w:hAnsi="Times New Roman" w:cs="Times New Roman"/>
        </w:rPr>
        <w:t xml:space="preserve"> cabinet</w:t>
      </w:r>
      <w:r w:rsidR="0022357E">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0072A610" w14:textId="77777777" w:rsidR="0036748C" w:rsidRPr="00CE3F07" w:rsidRDefault="0036748C" w:rsidP="0036748C">
      <w:pPr>
        <w:numPr>
          <w:ilvl w:val="0"/>
          <w:numId w:val="15"/>
        </w:numPr>
        <w:suppressAutoHyphens/>
        <w:autoSpaceDN w:val="0"/>
        <w:spacing w:after="0" w:line="276" w:lineRule="auto"/>
        <w:ind w:left="714" w:hanging="357"/>
        <w:contextualSpacing/>
        <w:jc w:val="both"/>
        <w:textAlignment w:val="baseline"/>
        <w:rPr>
          <w:rFonts w:ascii="Times New Roman" w:eastAsia="Calibri" w:hAnsi="Times New Roman" w:cs="Times New Roman"/>
          <w:bCs/>
        </w:rPr>
      </w:pPr>
      <w:r w:rsidRPr="00CE3F07">
        <w:rPr>
          <w:rFonts w:ascii="Times New Roman" w:eastAsia="Calibri" w:hAnsi="Times New Roman" w:cs="Times New Roman"/>
          <w:bCs/>
        </w:rPr>
        <w:t xml:space="preserve">Au moins 08 ans d’expériences nationale, sous régionale particulièrement en Afrique sub-saharienne, de travail dans les domaines de la conception, la mise en œuvre et le suivi de projets de développement en milieu rural ; </w:t>
      </w:r>
    </w:p>
    <w:p w14:paraId="705BD5A1" w14:textId="6842BAC2" w:rsidR="00BC6485" w:rsidRDefault="0036748C" w:rsidP="00875111">
      <w:pPr>
        <w:numPr>
          <w:ilvl w:val="0"/>
          <w:numId w:val="15"/>
        </w:numPr>
        <w:suppressAutoHyphens/>
        <w:autoSpaceDN w:val="0"/>
        <w:spacing w:after="0" w:line="276" w:lineRule="auto"/>
        <w:ind w:left="714" w:hanging="357"/>
        <w:contextualSpacing/>
        <w:jc w:val="both"/>
        <w:textAlignment w:val="baseline"/>
        <w:rPr>
          <w:rFonts w:ascii="Times New Roman" w:eastAsia="Calibri" w:hAnsi="Times New Roman" w:cs="Times New Roman"/>
          <w:bCs/>
        </w:rPr>
      </w:pPr>
      <w:r w:rsidRPr="00CE3F07">
        <w:rPr>
          <w:rFonts w:ascii="Times New Roman" w:eastAsia="Calibri" w:hAnsi="Times New Roman" w:cs="Times New Roman"/>
          <w:bCs/>
        </w:rPr>
        <w:t>Au moins deux missions similaires réalisées dûment justifiées par des certificats de bonne fin avec les pages des contrats, rapports d’activités</w:t>
      </w:r>
      <w:r w:rsidR="0022357E">
        <w:rPr>
          <w:rFonts w:ascii="Times New Roman" w:eastAsia="Calibri" w:hAnsi="Times New Roman" w:cs="Times New Roman"/>
          <w:bCs/>
        </w:rPr>
        <w:t>.</w:t>
      </w:r>
    </w:p>
    <w:p w14:paraId="1D3BFF9C" w14:textId="77777777" w:rsidR="0022357E" w:rsidRPr="00875111" w:rsidRDefault="0022357E" w:rsidP="0022357E">
      <w:pPr>
        <w:suppressAutoHyphens/>
        <w:autoSpaceDN w:val="0"/>
        <w:spacing w:after="0" w:line="276" w:lineRule="auto"/>
        <w:ind w:left="714"/>
        <w:contextualSpacing/>
        <w:jc w:val="both"/>
        <w:textAlignment w:val="baseline"/>
        <w:rPr>
          <w:rFonts w:ascii="Times New Roman" w:eastAsia="Calibri" w:hAnsi="Times New Roman" w:cs="Times New Roman"/>
          <w:bCs/>
        </w:rPr>
      </w:pPr>
    </w:p>
    <w:p w14:paraId="697FF7E4" w14:textId="7C322D51" w:rsidR="00BC6485" w:rsidRPr="00CE3F07" w:rsidRDefault="00BC6485" w:rsidP="00BC6485">
      <w:pPr>
        <w:spacing w:line="276" w:lineRule="auto"/>
        <w:jc w:val="both"/>
        <w:rPr>
          <w:rFonts w:ascii="Times New Roman" w:eastAsia="Calibri" w:hAnsi="Times New Roman" w:cs="Times New Roman"/>
          <w:b/>
        </w:rPr>
      </w:pPr>
      <w:r w:rsidRPr="004C1D60">
        <w:rPr>
          <w:rFonts w:ascii="Times New Roman" w:eastAsia="Calibri" w:hAnsi="Times New Roman" w:cs="Times New Roman"/>
          <w:b/>
        </w:rPr>
        <w:t>A ce titre, le consultant (</w:t>
      </w:r>
      <w:r>
        <w:rPr>
          <w:rFonts w:ascii="Times New Roman" w:eastAsia="Calibri" w:hAnsi="Times New Roman" w:cs="Times New Roman"/>
          <w:b/>
        </w:rPr>
        <w:t>Bureau</w:t>
      </w:r>
      <w:r w:rsidR="00BC3D96">
        <w:rPr>
          <w:rFonts w:ascii="Times New Roman" w:eastAsia="Calibri" w:hAnsi="Times New Roman" w:cs="Times New Roman"/>
          <w:b/>
        </w:rPr>
        <w:t xml:space="preserve">, cabinet </w:t>
      </w:r>
      <w:r>
        <w:rPr>
          <w:rFonts w:ascii="Times New Roman" w:eastAsia="Calibri" w:hAnsi="Times New Roman" w:cs="Times New Roman"/>
          <w:b/>
        </w:rPr>
        <w:t>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w:t>
      </w:r>
      <w:r w:rsidR="00BC3D96">
        <w:rPr>
          <w:rFonts w:ascii="Times New Roman" w:eastAsia="Calibri" w:hAnsi="Times New Roman" w:cs="Times New Roman"/>
          <w:b/>
        </w:rPr>
        <w:t xml:space="preserve">, </w:t>
      </w:r>
      <w:r w:rsidRPr="004C1D60">
        <w:rPr>
          <w:rFonts w:ascii="Times New Roman" w:eastAsia="Calibri" w:hAnsi="Times New Roman" w:cs="Times New Roman"/>
          <w:b/>
        </w:rPr>
        <w:t>ou bonne fin d’exécution</w:t>
      </w:r>
      <w:r w:rsidR="00BC3D96">
        <w:rPr>
          <w:rFonts w:ascii="Times New Roman" w:eastAsia="Calibri" w:hAnsi="Times New Roman" w:cs="Times New Roman"/>
          <w:b/>
        </w:rPr>
        <w:t>,</w:t>
      </w:r>
      <w:r w:rsidR="00BC3D96" w:rsidRPr="00BC3D96">
        <w:rPr>
          <w:rFonts w:ascii="Times New Roman" w:eastAsia="Calibri" w:hAnsi="Times New Roman" w:cs="Times New Roman"/>
          <w:bCs/>
          <w:sz w:val="24"/>
          <w:szCs w:val="24"/>
        </w:rPr>
        <w:t xml:space="preserve"> </w:t>
      </w:r>
      <w:r w:rsidR="00BC3D96" w:rsidRPr="00CE3F07">
        <w:rPr>
          <w:rFonts w:ascii="Times New Roman" w:eastAsia="Calibri" w:hAnsi="Times New Roman" w:cs="Times New Roman"/>
          <w:b/>
        </w:rPr>
        <w:t>les pages de couverture et signature du contrat</w:t>
      </w:r>
      <w:r w:rsidRPr="0036748C">
        <w:rPr>
          <w:rFonts w:ascii="Times New Roman" w:eastAsia="Calibri" w:hAnsi="Times New Roman" w:cs="Times New Roman"/>
          <w:b/>
        </w:rPr>
        <w:t>).</w:t>
      </w:r>
    </w:p>
    <w:p w14:paraId="297F1679" w14:textId="3F0665A4" w:rsidR="006F2379" w:rsidRPr="006F2379" w:rsidRDefault="006F2379" w:rsidP="00BC6485">
      <w:pPr>
        <w:spacing w:line="276" w:lineRule="auto"/>
        <w:jc w:val="both"/>
        <w:rPr>
          <w:rFonts w:ascii="Times New Roman" w:hAnsi="Times New Roman" w:cs="Times New Roman"/>
          <w:b/>
        </w:rPr>
      </w:pPr>
      <w:r>
        <w:rPr>
          <w:rFonts w:ascii="Times New Roman" w:hAnsi="Times New Roman" w:cs="Times New Roman"/>
          <w:b/>
          <w:sz w:val="24"/>
          <w:szCs w:val="24"/>
        </w:rPr>
        <w:t xml:space="preserve">NB : </w:t>
      </w:r>
      <w:r w:rsidRPr="006F2379">
        <w:rPr>
          <w:rFonts w:ascii="Times New Roman" w:hAnsi="Times New Roman" w:cs="Times New Roman"/>
          <w:b/>
          <w:sz w:val="24"/>
          <w:szCs w:val="24"/>
        </w:rPr>
        <w:t>Pour des Cabinets conseils internationaux : un partenariat avec un Cabinet d’Ingénieurs Conseils du niveau national est fortement recommandé</w:t>
      </w:r>
      <w:r>
        <w:rPr>
          <w:rFonts w:ascii="Times New Roman" w:hAnsi="Times New Roman" w:cs="Times New Roman"/>
          <w:b/>
          <w:sz w:val="24"/>
          <w:szCs w:val="24"/>
        </w:rPr>
        <w:t>.</w:t>
      </w:r>
    </w:p>
    <w:p w14:paraId="6D55D41F" w14:textId="1873B1F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AD7F435"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lastRenderedPageBreak/>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B43D5C" w:rsidRPr="008F2B1B">
        <w:rPr>
          <w:rFonts w:ascii="Times New Roman" w:hAnsi="Times New Roman" w:cs="Times New Roman"/>
        </w:rPr>
        <w:t xml:space="preserve">dans le domaine de </w:t>
      </w:r>
      <w:r w:rsidR="006F2379" w:rsidRPr="006F2379">
        <w:rPr>
          <w:rFonts w:ascii="Times New Roman" w:hAnsi="Times New Roman" w:cs="Times New Roman"/>
        </w:rPr>
        <w:t>la formulation, la préparation des propositions, la mobilisation des financements en faveur du climat et le développement durable</w:t>
      </w:r>
      <w:r w:rsidRPr="008F2B1B">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0EDF41AE" w:rsidR="00BC6485" w:rsidRPr="00621E69" w:rsidRDefault="00E26636" w:rsidP="00BC6485">
      <w:pPr>
        <w:spacing w:line="276" w:lineRule="auto"/>
        <w:jc w:val="both"/>
        <w:rPr>
          <w:rFonts w:ascii="Times New Roman" w:hAnsi="Times New Roman" w:cs="Times New Roman"/>
          <w:bCs/>
        </w:rPr>
      </w:pPr>
      <w:r w:rsidRPr="00E26636">
        <w:rPr>
          <w:rFonts w:ascii="Times New Roman" w:hAnsi="Times New Roman" w:cs="Times New Roman"/>
        </w:rPr>
        <w:t xml:space="preserve">La prestation </w:t>
      </w:r>
      <w:r w:rsidR="00165DF5">
        <w:rPr>
          <w:rFonts w:ascii="Times New Roman" w:hAnsi="Times New Roman" w:cs="Times New Roman"/>
        </w:rPr>
        <w:t xml:space="preserve">se </w:t>
      </w:r>
      <w:r w:rsidR="00165DF5" w:rsidRPr="00165DF5">
        <w:rPr>
          <w:rFonts w:ascii="Times New Roman" w:hAnsi="Times New Roman" w:cs="Times New Roman"/>
        </w:rPr>
        <w:t xml:space="preserve">déroulera </w:t>
      </w:r>
      <w:r w:rsidR="0022357E">
        <w:rPr>
          <w:rFonts w:ascii="Times New Roman" w:hAnsi="Times New Roman" w:cs="Times New Roman"/>
        </w:rPr>
        <w:t>dans les zones d’intervention du projet sus mentionnées, à</w:t>
      </w:r>
      <w:r w:rsidR="0022357E" w:rsidRPr="0036748C">
        <w:rPr>
          <w:rFonts w:ascii="Times New Roman" w:hAnsi="Times New Roman" w:cs="Times New Roman"/>
        </w:rPr>
        <w:t xml:space="preserve"> l’Unité</w:t>
      </w:r>
      <w:r w:rsidR="00621E69" w:rsidRPr="0036748C">
        <w:rPr>
          <w:rFonts w:ascii="Times New Roman" w:hAnsi="Times New Roman" w:cs="Times New Roman"/>
        </w:rPr>
        <w:t xml:space="preserve"> de Gestion du Projet </w:t>
      </w:r>
      <w:r w:rsidR="0036748C" w:rsidRPr="00CE3F07">
        <w:rPr>
          <w:rFonts w:ascii="Times New Roman" w:eastAsia="Calibri" w:hAnsi="Times New Roman" w:cs="Times New Roman"/>
        </w:rPr>
        <w:t>s</w:t>
      </w:r>
      <w:r w:rsidR="0036748C" w:rsidRPr="00CE3F07">
        <w:rPr>
          <w:rFonts w:ascii="Times New Roman" w:eastAsia="Calibri" w:hAnsi="Times New Roman" w:cs="Times New Roman"/>
        </w:rPr>
        <w:t>ous la supervision du Coordinateur national du PRTD et des experts de l’ANGMV qui assura la tutelle de la mise en place de la sous-composante FACI) et en étroite collaboration avec les membres des Unités d’Appui régionales (UAR) du Projet</w:t>
      </w:r>
      <w:r w:rsidR="0022357E">
        <w:rPr>
          <w:rFonts w:ascii="Times New Roman" w:eastAsia="Calibri" w:hAnsi="Times New Roman" w:cs="Times New Roman"/>
        </w:rPr>
        <w:t>.</w:t>
      </w:r>
      <w:r w:rsidR="0036748C">
        <w:rPr>
          <w:rFonts w:ascii="Calibri" w:eastAsia="Calibri" w:hAnsi="Calibri" w:cs="Times New Roman"/>
          <w:sz w:val="24"/>
          <w:szCs w:val="24"/>
        </w:rPr>
        <w:t xml:space="preserve"> </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31A533F6" w14:textId="77777777" w:rsidR="0036748C" w:rsidRPr="00CE3F07" w:rsidRDefault="0036748C" w:rsidP="0036748C">
      <w:pPr>
        <w:spacing w:line="276" w:lineRule="auto"/>
        <w:jc w:val="both"/>
        <w:rPr>
          <w:rFonts w:ascii="Times New Roman" w:eastAsia="Calibri" w:hAnsi="Times New Roman" w:cs="Times New Roman"/>
          <w:lang w:bidi="fr-FR"/>
        </w:rPr>
      </w:pPr>
      <w:r w:rsidRPr="00CE3F07">
        <w:rPr>
          <w:rFonts w:ascii="Times New Roman" w:eastAsia="Calibri" w:hAnsi="Times New Roman" w:cs="Times New Roman"/>
          <w:lang w:bidi="fr-FR"/>
        </w:rPr>
        <w:t xml:space="preserve">Le délai d’exécution pour la présente mission est quatre-vingt-dix (90) jours calendaires non compris les délais d’approbation des étapes intermédiaires par le Maître d’ouvrage délégué et autres parties prenantes. </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4D84A178"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CF796E">
        <w:rPr>
          <w:rFonts w:ascii="Times New Roman" w:hAnsi="Times New Roman" w:cs="Times New Roman"/>
          <w:b/>
        </w:rPr>
        <w:t>8</w:t>
      </w:r>
      <w:r w:rsidRPr="00F552A0">
        <w:rPr>
          <w:rFonts w:ascii="Times New Roman" w:hAnsi="Times New Roman" w:cs="Times New Roman"/>
          <w:b/>
        </w:rPr>
        <w:t xml:space="preserve">/MEADD-SG/UGP-PRTD-Mali </w:t>
      </w:r>
      <w:r w:rsidR="00F43568">
        <w:rPr>
          <w:rFonts w:ascii="Times New Roman" w:hAnsi="Times New Roman" w:cs="Times New Roman"/>
          <w:b/>
        </w:rPr>
        <w:t>relatif</w:t>
      </w:r>
      <w:r w:rsidRPr="00F552A0">
        <w:rPr>
          <w:rFonts w:ascii="Times New Roman" w:hAnsi="Times New Roman" w:cs="Times New Roman"/>
          <w:b/>
        </w:rPr>
        <w:t xml:space="preserve"> </w:t>
      </w:r>
      <w:r w:rsidR="00F43568">
        <w:rPr>
          <w:rFonts w:ascii="Times New Roman" w:hAnsi="Times New Roman" w:cs="Times New Roman"/>
          <w:b/>
        </w:rPr>
        <w:t xml:space="preserve">à </w:t>
      </w:r>
      <w:r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CF796E" w:rsidRPr="00CF796E">
        <w:rPr>
          <w:rFonts w:ascii="Times New Roman" w:hAnsi="Times New Roman" w:cs="Times New Roman"/>
          <w:b/>
        </w:rPr>
        <w:t>d’un cabinet en charge de fournir une assistance technique pour la formulation, la préparation des propositions, la mobilisation des financements en faveur du climat et le développement durable et l'accompagnement de l’AEDD et l’ANICT à l’accréditation</w:t>
      </w:r>
      <w:r w:rsidRPr="00F552A0">
        <w:rPr>
          <w:rFonts w:ascii="Times New Roman" w:hAnsi="Times New Roman" w:cs="Times New Roman"/>
          <w:b/>
        </w:rPr>
        <w:t xml:space="preserve">» </w:t>
      </w:r>
      <w:r w:rsidRPr="00B43D5C">
        <w:rPr>
          <w:rFonts w:ascii="Times New Roman" w:hAnsi="Times New Roman" w:cs="Times New Roman"/>
          <w:bCs/>
        </w:rPr>
        <w:t>et parvenir au plus tard</w:t>
      </w:r>
      <w:r w:rsidRPr="00F552A0">
        <w:rPr>
          <w:rFonts w:ascii="Times New Roman" w:hAnsi="Times New Roman" w:cs="Times New Roman"/>
          <w:b/>
        </w:rPr>
        <w:t xml:space="preserve"> </w:t>
      </w:r>
      <w:r w:rsidRPr="00F81921">
        <w:rPr>
          <w:rFonts w:ascii="Times New Roman" w:hAnsi="Times New Roman" w:cs="Times New Roman"/>
          <w:b/>
        </w:rPr>
        <w:t>le</w:t>
      </w:r>
      <w:r w:rsidR="0036748C">
        <w:rPr>
          <w:rFonts w:ascii="Times New Roman" w:hAnsi="Times New Roman" w:cs="Times New Roman"/>
          <w:b/>
        </w:rPr>
        <w:t>……………</w:t>
      </w:r>
      <w:r w:rsidRPr="00F81921">
        <w:rPr>
          <w:rFonts w:ascii="Times New Roman" w:hAnsi="Times New Roman" w:cs="Times New Roman"/>
          <w:b/>
        </w:rPr>
        <w:t xml:space="preserve">2024 avant 16 heures </w:t>
      </w:r>
      <w:r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Pr="00F81921">
        <w:rPr>
          <w:rFonts w:ascii="Times New Roman" w:hAnsi="Times New Roman" w:cs="Times New Roman"/>
          <w:b/>
        </w:rPr>
        <w:t>.</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5B251ACD"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36748C">
        <w:rPr>
          <w:rFonts w:ascii="Times New Roman" w:eastAsia="Times New Roman" w:hAnsi="Times New Roman" w:cs="Times New Roman"/>
          <w:lang w:val="fr-ML" w:eastAsia="fr-FR"/>
        </w:rPr>
        <w:t>19 Septembre</w:t>
      </w:r>
      <w:r w:rsidR="00B43D5C">
        <w:rPr>
          <w:rFonts w:ascii="Times New Roman" w:eastAsia="Times New Roman" w:hAnsi="Times New Roman" w:cs="Times New Roman"/>
          <w:lang w:val="fr-ML" w:eastAsia="fr-FR"/>
        </w:rPr>
        <w:t>2024</w:t>
      </w: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64966BBE"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w:t>
      </w:r>
      <w:r w:rsidR="0022357E">
        <w:rPr>
          <w:rFonts w:ascii="Times New Roman" w:eastAsia="Times New Roman" w:hAnsi="Times New Roman" w:cs="Times New Roman"/>
          <w:lang w:val="fr-ML" w:eastAsia="fr-FR"/>
        </w:rPr>
        <w:t>national du</w:t>
      </w:r>
      <w:r w:rsidR="00F71925">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pt;height:12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7A0852"/>
    <w:multiLevelType w:val="hybridMultilevel"/>
    <w:tmpl w:val="98126BE0"/>
    <w:lvl w:ilvl="0" w:tplc="685267F6">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3413AA"/>
    <w:multiLevelType w:val="hybridMultilevel"/>
    <w:tmpl w:val="0E0C6006"/>
    <w:lvl w:ilvl="0" w:tplc="1C4A8B78">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9"/>
  </w:num>
  <w:num w:numId="2" w16cid:durableId="1892418570">
    <w:abstractNumId w:val="6"/>
  </w:num>
  <w:num w:numId="3" w16cid:durableId="1489520641">
    <w:abstractNumId w:val="2"/>
  </w:num>
  <w:num w:numId="4" w16cid:durableId="1014694211">
    <w:abstractNumId w:val="1"/>
  </w:num>
  <w:num w:numId="5" w16cid:durableId="1255288746">
    <w:abstractNumId w:val="0"/>
  </w:num>
  <w:num w:numId="6" w16cid:durableId="792019738">
    <w:abstractNumId w:val="4"/>
  </w:num>
  <w:num w:numId="7" w16cid:durableId="56244218">
    <w:abstractNumId w:val="11"/>
  </w:num>
  <w:num w:numId="8" w16cid:durableId="1622374812">
    <w:abstractNumId w:val="8"/>
  </w:num>
  <w:num w:numId="9" w16cid:durableId="853232277">
    <w:abstractNumId w:val="14"/>
  </w:num>
  <w:num w:numId="10" w16cid:durableId="302395399">
    <w:abstractNumId w:val="12"/>
  </w:num>
  <w:num w:numId="11" w16cid:durableId="1232887907">
    <w:abstractNumId w:val="3"/>
  </w:num>
  <w:num w:numId="12" w16cid:durableId="504783414">
    <w:abstractNumId w:val="5"/>
  </w:num>
  <w:num w:numId="13" w16cid:durableId="1511676875">
    <w:abstractNumId w:val="7"/>
  </w:num>
  <w:num w:numId="14" w16cid:durableId="1653489724">
    <w:abstractNumId w:val="13"/>
  </w:num>
  <w:num w:numId="15" w16cid:durableId="560168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83DF1"/>
    <w:rsid w:val="000C7317"/>
    <w:rsid w:val="00115C9D"/>
    <w:rsid w:val="001320BA"/>
    <w:rsid w:val="0015030E"/>
    <w:rsid w:val="00157F89"/>
    <w:rsid w:val="00165DF5"/>
    <w:rsid w:val="001F1B5E"/>
    <w:rsid w:val="0022357E"/>
    <w:rsid w:val="002F6439"/>
    <w:rsid w:val="0036748C"/>
    <w:rsid w:val="00386BD9"/>
    <w:rsid w:val="004433DD"/>
    <w:rsid w:val="00464AF5"/>
    <w:rsid w:val="00466F1B"/>
    <w:rsid w:val="00485A57"/>
    <w:rsid w:val="004A7591"/>
    <w:rsid w:val="004B066A"/>
    <w:rsid w:val="004B30EA"/>
    <w:rsid w:val="00505411"/>
    <w:rsid w:val="00507200"/>
    <w:rsid w:val="0052310F"/>
    <w:rsid w:val="00547120"/>
    <w:rsid w:val="00562024"/>
    <w:rsid w:val="005D3986"/>
    <w:rsid w:val="005D52DA"/>
    <w:rsid w:val="00621E69"/>
    <w:rsid w:val="006672B8"/>
    <w:rsid w:val="006872E7"/>
    <w:rsid w:val="00690414"/>
    <w:rsid w:val="00690AC4"/>
    <w:rsid w:val="006A7CE5"/>
    <w:rsid w:val="006D34B5"/>
    <w:rsid w:val="006F2379"/>
    <w:rsid w:val="00723AE7"/>
    <w:rsid w:val="0074580E"/>
    <w:rsid w:val="00766944"/>
    <w:rsid w:val="00776F3F"/>
    <w:rsid w:val="007B2E2D"/>
    <w:rsid w:val="007D6A8C"/>
    <w:rsid w:val="007F3711"/>
    <w:rsid w:val="00813F45"/>
    <w:rsid w:val="00835FAA"/>
    <w:rsid w:val="00850C11"/>
    <w:rsid w:val="00875111"/>
    <w:rsid w:val="008D303B"/>
    <w:rsid w:val="008F2B1B"/>
    <w:rsid w:val="00977D99"/>
    <w:rsid w:val="009A0DE9"/>
    <w:rsid w:val="009E175D"/>
    <w:rsid w:val="009E3428"/>
    <w:rsid w:val="00A11331"/>
    <w:rsid w:val="00A31C80"/>
    <w:rsid w:val="00A43B5B"/>
    <w:rsid w:val="00B03D5D"/>
    <w:rsid w:val="00B06AB2"/>
    <w:rsid w:val="00B23BDF"/>
    <w:rsid w:val="00B43D5C"/>
    <w:rsid w:val="00B731B1"/>
    <w:rsid w:val="00BC3D96"/>
    <w:rsid w:val="00BC6485"/>
    <w:rsid w:val="00C1140D"/>
    <w:rsid w:val="00C74C23"/>
    <w:rsid w:val="00CE3F07"/>
    <w:rsid w:val="00CF1644"/>
    <w:rsid w:val="00CF796E"/>
    <w:rsid w:val="00D46307"/>
    <w:rsid w:val="00D71996"/>
    <w:rsid w:val="00E26636"/>
    <w:rsid w:val="00E8768A"/>
    <w:rsid w:val="00EB0AF3"/>
    <w:rsid w:val="00EB25F7"/>
    <w:rsid w:val="00F43568"/>
    <w:rsid w:val="00F43AE3"/>
    <w:rsid w:val="00F71925"/>
    <w:rsid w:val="00F7755F"/>
    <w:rsid w:val="00F81F54"/>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nhideWhenUsed/>
    <w:rsid w:val="00CF1644"/>
    <w:rPr>
      <w:sz w:val="16"/>
      <w:szCs w:val="16"/>
    </w:rPr>
  </w:style>
  <w:style w:type="paragraph" w:styleId="Commentaire">
    <w:name w:val="annotation text"/>
    <w:basedOn w:val="Normal"/>
    <w:link w:val="CommentaireCar"/>
    <w:unhideWhenUsed/>
    <w:rsid w:val="00CF1644"/>
    <w:pPr>
      <w:spacing w:line="240" w:lineRule="auto"/>
    </w:pPr>
    <w:rPr>
      <w:sz w:val="20"/>
      <w:szCs w:val="20"/>
    </w:rPr>
  </w:style>
  <w:style w:type="character" w:customStyle="1" w:styleId="CommentaireCar">
    <w:name w:val="Commentaire Car"/>
    <w:basedOn w:val="Policepardfaut"/>
    <w:link w:val="Commentaire"/>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table" w:styleId="Grilledutableau">
    <w:name w:val="Table Grid"/>
    <w:basedOn w:val="TableauNormal"/>
    <w:uiPriority w:val="39"/>
    <w:rsid w:val="00977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1533</Words>
  <Characters>8743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6</cp:revision>
  <cp:lastPrinted>2024-07-16T08:12:00Z</cp:lastPrinted>
  <dcterms:created xsi:type="dcterms:W3CDTF">2024-09-19T10:36:00Z</dcterms:created>
  <dcterms:modified xsi:type="dcterms:W3CDTF">2024-09-19T11:02:00Z</dcterms:modified>
</cp:coreProperties>
</file>