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6AE0" w14:textId="68EF2403" w:rsidR="00282387" w:rsidRPr="003D24D3" w:rsidRDefault="00282387" w:rsidP="00205CDC">
      <w:pPr>
        <w:spacing w:after="0"/>
        <w:ind w:left="107"/>
        <w:jc w:val="center"/>
        <w:rPr>
          <w:b/>
          <w:bCs/>
          <w:color w:val="auto"/>
          <w:sz w:val="24"/>
          <w:szCs w:val="24"/>
        </w:rPr>
      </w:pPr>
      <w:r w:rsidRPr="003D24D3">
        <w:rPr>
          <w:b/>
          <w:bCs/>
          <w:color w:val="auto"/>
          <w:sz w:val="24"/>
          <w:szCs w:val="24"/>
        </w:rPr>
        <w:t xml:space="preserve">AVIS </w:t>
      </w:r>
      <w:r w:rsidR="00205CDC" w:rsidRPr="003D24D3">
        <w:rPr>
          <w:b/>
          <w:bCs/>
          <w:color w:val="auto"/>
          <w:sz w:val="24"/>
          <w:szCs w:val="24"/>
        </w:rPr>
        <w:t>DE MANISFESTATION D’INTERET</w:t>
      </w:r>
    </w:p>
    <w:p w14:paraId="697211B4" w14:textId="77777777" w:rsidR="00282387" w:rsidRPr="003D24D3" w:rsidRDefault="00282387" w:rsidP="00205CDC">
      <w:pPr>
        <w:spacing w:after="0"/>
        <w:ind w:left="107"/>
        <w:jc w:val="center"/>
        <w:rPr>
          <w:b/>
          <w:bCs/>
          <w:sz w:val="24"/>
          <w:szCs w:val="24"/>
        </w:rPr>
      </w:pPr>
      <w:r w:rsidRPr="003D24D3">
        <w:rPr>
          <w:b/>
          <w:bCs/>
          <w:sz w:val="24"/>
          <w:szCs w:val="24"/>
        </w:rPr>
        <w:t>MINISTÈRE DE LA SÉCURITÉ ET DE LA PROTECTION CIVILE</w:t>
      </w:r>
    </w:p>
    <w:p w14:paraId="581E09D2" w14:textId="77777777" w:rsidR="00282387" w:rsidRPr="003D24D3" w:rsidRDefault="00282387" w:rsidP="00282387">
      <w:pPr>
        <w:spacing w:after="65"/>
        <w:ind w:left="107"/>
        <w:jc w:val="center"/>
        <w:rPr>
          <w:b/>
          <w:bCs/>
          <w:sz w:val="2"/>
          <w:szCs w:val="2"/>
        </w:rPr>
      </w:pPr>
    </w:p>
    <w:p w14:paraId="1D26D14B" w14:textId="512148D1" w:rsidR="00205CDC" w:rsidRPr="003D24D3" w:rsidRDefault="00205CDC" w:rsidP="00205CDC">
      <w:pPr>
        <w:spacing w:after="65"/>
        <w:ind w:left="107"/>
        <w:jc w:val="both"/>
        <w:rPr>
          <w:sz w:val="24"/>
          <w:szCs w:val="24"/>
        </w:rPr>
      </w:pPr>
      <w:r w:rsidRPr="003D24D3">
        <w:rPr>
          <w:sz w:val="24"/>
          <w:szCs w:val="24"/>
        </w:rPr>
        <w:t>Avis de Manifestation d’Intérêt pour l'établissement de la liste des prestataires pour</w:t>
      </w:r>
      <w:r w:rsidRPr="003D24D3">
        <w:rPr>
          <w:b/>
          <w:bCs/>
          <w:sz w:val="24"/>
          <w:szCs w:val="24"/>
        </w:rPr>
        <w:t xml:space="preserve"> le</w:t>
      </w:r>
      <w:r w:rsidR="005C462D">
        <w:rPr>
          <w:b/>
          <w:bCs/>
          <w:sz w:val="24"/>
          <w:szCs w:val="24"/>
        </w:rPr>
        <w:t>s études architecturales, techniques et le</w:t>
      </w:r>
      <w:r w:rsidRPr="003D24D3">
        <w:rPr>
          <w:b/>
          <w:bCs/>
          <w:sz w:val="24"/>
          <w:szCs w:val="24"/>
        </w:rPr>
        <w:t xml:space="preserve"> contrôle des travaux de construction des commissariats de police de </w:t>
      </w:r>
      <w:proofErr w:type="spellStart"/>
      <w:r w:rsidR="005C462D">
        <w:rPr>
          <w:b/>
          <w:bCs/>
          <w:sz w:val="24"/>
          <w:szCs w:val="24"/>
        </w:rPr>
        <w:t>Kambila</w:t>
      </w:r>
      <w:proofErr w:type="spellEnd"/>
      <w:r w:rsidR="005C462D">
        <w:rPr>
          <w:b/>
          <w:bCs/>
          <w:sz w:val="24"/>
          <w:szCs w:val="24"/>
        </w:rPr>
        <w:t xml:space="preserve"> et de </w:t>
      </w:r>
      <w:proofErr w:type="spellStart"/>
      <w:r w:rsidR="005C462D">
        <w:rPr>
          <w:b/>
          <w:bCs/>
          <w:sz w:val="24"/>
          <w:szCs w:val="24"/>
        </w:rPr>
        <w:t>Kolokani</w:t>
      </w:r>
      <w:proofErr w:type="spellEnd"/>
      <w:r w:rsidRPr="003D24D3">
        <w:rPr>
          <w:b/>
          <w:bCs/>
          <w:sz w:val="24"/>
          <w:szCs w:val="24"/>
        </w:rPr>
        <w:t xml:space="preserve"> </w:t>
      </w:r>
      <w:r w:rsidRPr="003D24D3">
        <w:rPr>
          <w:sz w:val="24"/>
          <w:szCs w:val="24"/>
        </w:rPr>
        <w:t>pour le compte du Ministère de la Sécurité et de la Protection Civile.</w:t>
      </w:r>
    </w:p>
    <w:p w14:paraId="7537F8C5" w14:textId="77777777" w:rsidR="00205CDC" w:rsidRPr="003D24D3" w:rsidRDefault="00205CDC" w:rsidP="00205CDC">
      <w:pPr>
        <w:spacing w:after="65"/>
        <w:ind w:left="107"/>
        <w:jc w:val="both"/>
        <w:rPr>
          <w:sz w:val="24"/>
          <w:szCs w:val="24"/>
        </w:rPr>
      </w:pPr>
    </w:p>
    <w:p w14:paraId="7F4F8530" w14:textId="16898D89" w:rsidR="00205CDC" w:rsidRPr="003D24D3" w:rsidRDefault="00205CDC" w:rsidP="00205CDC">
      <w:pPr>
        <w:spacing w:after="6" w:line="216" w:lineRule="auto"/>
        <w:ind w:left="103" w:right="59" w:firstLine="5"/>
        <w:jc w:val="both"/>
        <w:rPr>
          <w:sz w:val="24"/>
          <w:szCs w:val="24"/>
        </w:rPr>
      </w:pPr>
      <w:r w:rsidRPr="003D24D3">
        <w:rPr>
          <w:sz w:val="24"/>
          <w:szCs w:val="24"/>
        </w:rPr>
        <w:t xml:space="preserve">Le Ministère de la Sécurité et de la Protection Civile lance le présent avis de Manifestation d'Intérêt en vue de la constitution de la liste des prestataires pour </w:t>
      </w:r>
      <w:r w:rsidRPr="003D24D3">
        <w:rPr>
          <w:b/>
          <w:bCs/>
          <w:sz w:val="24"/>
          <w:szCs w:val="24"/>
        </w:rPr>
        <w:t xml:space="preserve">le contrôle et la surveillance des travaux de construction des commissariats de police de </w:t>
      </w:r>
      <w:proofErr w:type="spellStart"/>
      <w:r w:rsidRPr="003D24D3">
        <w:rPr>
          <w:b/>
          <w:bCs/>
          <w:sz w:val="24"/>
          <w:szCs w:val="24"/>
        </w:rPr>
        <w:t>Tabacoro</w:t>
      </w:r>
      <w:proofErr w:type="spellEnd"/>
      <w:r w:rsidRPr="003D24D3">
        <w:rPr>
          <w:b/>
          <w:bCs/>
          <w:sz w:val="24"/>
          <w:szCs w:val="24"/>
        </w:rPr>
        <w:t xml:space="preserve">, </w:t>
      </w:r>
      <w:proofErr w:type="spellStart"/>
      <w:r w:rsidRPr="003D24D3">
        <w:rPr>
          <w:b/>
          <w:bCs/>
          <w:sz w:val="24"/>
          <w:szCs w:val="24"/>
        </w:rPr>
        <w:t>Sénou</w:t>
      </w:r>
      <w:proofErr w:type="spellEnd"/>
      <w:r w:rsidRPr="003D24D3">
        <w:rPr>
          <w:b/>
          <w:bCs/>
          <w:sz w:val="24"/>
          <w:szCs w:val="24"/>
        </w:rPr>
        <w:t xml:space="preserve">, </w:t>
      </w:r>
      <w:proofErr w:type="spellStart"/>
      <w:r w:rsidRPr="003D24D3">
        <w:rPr>
          <w:b/>
          <w:bCs/>
          <w:sz w:val="24"/>
          <w:szCs w:val="24"/>
        </w:rPr>
        <w:t>Sabalibougou</w:t>
      </w:r>
      <w:proofErr w:type="spellEnd"/>
      <w:r w:rsidRPr="003D24D3">
        <w:rPr>
          <w:b/>
          <w:bCs/>
          <w:sz w:val="24"/>
          <w:szCs w:val="24"/>
        </w:rPr>
        <w:t xml:space="preserve">, </w:t>
      </w:r>
      <w:proofErr w:type="spellStart"/>
      <w:r w:rsidRPr="003D24D3">
        <w:rPr>
          <w:b/>
          <w:bCs/>
          <w:sz w:val="24"/>
          <w:szCs w:val="24"/>
        </w:rPr>
        <w:t>Kangaba</w:t>
      </w:r>
      <w:proofErr w:type="spellEnd"/>
      <w:r w:rsidRPr="003D24D3">
        <w:rPr>
          <w:b/>
          <w:bCs/>
          <w:sz w:val="24"/>
          <w:szCs w:val="24"/>
        </w:rPr>
        <w:t xml:space="preserve"> et </w:t>
      </w:r>
      <w:proofErr w:type="spellStart"/>
      <w:r w:rsidRPr="003D24D3">
        <w:rPr>
          <w:b/>
          <w:bCs/>
          <w:sz w:val="24"/>
          <w:szCs w:val="24"/>
        </w:rPr>
        <w:t>Ya</w:t>
      </w:r>
      <w:r w:rsidR="00230B74" w:rsidRPr="003D24D3">
        <w:rPr>
          <w:b/>
          <w:bCs/>
          <w:sz w:val="24"/>
          <w:szCs w:val="24"/>
        </w:rPr>
        <w:t>n</w:t>
      </w:r>
      <w:r w:rsidRPr="003D24D3">
        <w:rPr>
          <w:b/>
          <w:bCs/>
          <w:sz w:val="24"/>
          <w:szCs w:val="24"/>
        </w:rPr>
        <w:t>folila</w:t>
      </w:r>
      <w:proofErr w:type="spellEnd"/>
      <w:r w:rsidRPr="003D24D3">
        <w:rPr>
          <w:sz w:val="24"/>
          <w:szCs w:val="24"/>
        </w:rPr>
        <w:t xml:space="preserve"> pour le compte du Ministère de la Sécurité et de la Protection Civile. </w:t>
      </w:r>
    </w:p>
    <w:p w14:paraId="28B58ABC" w14:textId="77777777" w:rsidR="00205CDC" w:rsidRPr="003D24D3" w:rsidRDefault="00205CDC" w:rsidP="00205CDC">
      <w:pPr>
        <w:spacing w:after="6" w:line="216" w:lineRule="auto"/>
        <w:ind w:left="103" w:right="59" w:firstLine="5"/>
        <w:jc w:val="both"/>
        <w:rPr>
          <w:sz w:val="24"/>
          <w:szCs w:val="24"/>
        </w:rPr>
      </w:pPr>
    </w:p>
    <w:p w14:paraId="5798115B" w14:textId="77777777" w:rsidR="00205CDC" w:rsidRPr="003D24D3" w:rsidRDefault="00205CDC" w:rsidP="00205CDC">
      <w:pPr>
        <w:spacing w:after="6" w:line="216" w:lineRule="auto"/>
        <w:ind w:left="103" w:right="59" w:firstLine="5"/>
        <w:jc w:val="both"/>
        <w:rPr>
          <w:sz w:val="24"/>
          <w:szCs w:val="24"/>
        </w:rPr>
      </w:pPr>
      <w:r w:rsidRPr="003D24D3">
        <w:rPr>
          <w:sz w:val="24"/>
          <w:szCs w:val="24"/>
        </w:rPr>
        <w:t>Les prestataires qui y sont intéressés doivent remplir les conditions ci-après :</w:t>
      </w:r>
    </w:p>
    <w:p w14:paraId="7FDEBFB3" w14:textId="77777777" w:rsidR="00205CDC" w:rsidRPr="003D24D3" w:rsidRDefault="00205CDC" w:rsidP="00205CDC">
      <w:pPr>
        <w:numPr>
          <w:ilvl w:val="0"/>
          <w:numId w:val="1"/>
        </w:numPr>
        <w:spacing w:after="7" w:line="216" w:lineRule="auto"/>
        <w:ind w:right="64" w:hanging="5"/>
        <w:jc w:val="both"/>
        <w:rPr>
          <w:sz w:val="24"/>
          <w:szCs w:val="24"/>
        </w:rPr>
      </w:pPr>
      <w:r w:rsidRPr="003D24D3">
        <w:rPr>
          <w:sz w:val="24"/>
          <w:szCs w:val="24"/>
        </w:rPr>
        <w:t>Être une personne morale et avoir toutes les pièces administratives et parafiscales à jour (Agrément, carte professionnelle, inscriptions au registre de commerce ou tout autre document équivalent, le certificat de non faillite, le quitus fiscal) ;</w:t>
      </w:r>
    </w:p>
    <w:p w14:paraId="1F6D2898" w14:textId="77777777" w:rsidR="00205CDC" w:rsidRPr="003D24D3" w:rsidRDefault="00205CDC" w:rsidP="00205CDC">
      <w:pPr>
        <w:numPr>
          <w:ilvl w:val="0"/>
          <w:numId w:val="1"/>
        </w:numPr>
        <w:spacing w:after="0" w:line="216" w:lineRule="auto"/>
        <w:ind w:right="64" w:hanging="5"/>
        <w:jc w:val="both"/>
        <w:rPr>
          <w:sz w:val="24"/>
          <w:szCs w:val="24"/>
        </w:rPr>
      </w:pPr>
      <w:r w:rsidRPr="003D24D3">
        <w:rPr>
          <w:sz w:val="24"/>
          <w:szCs w:val="24"/>
        </w:rPr>
        <w:t>Fournir la liste du personnel qualifié composé d'au moins un architecte ou un ingénieur ayant au moins trois (03) ans d'expérience (en temps partiel) ou un ingénieur de Génie Civil Directeur des travaux, au moins trois (03) ans d'expérience minimum, (en temps partiel); un technicien en Electricité (courant fort et faible); un Technicien en Plomberie sanitaire ayant au moins trois (03) ans d'expérience (en temps partiel); ayant au moins (05) ans d'expérience (en temps plein), soit quatre (04) Hommes-mois;</w:t>
      </w:r>
    </w:p>
    <w:p w14:paraId="39BB1EB8" w14:textId="77777777" w:rsidR="00205CDC" w:rsidRPr="003D24D3" w:rsidRDefault="00205CDC" w:rsidP="00205CDC">
      <w:pPr>
        <w:numPr>
          <w:ilvl w:val="0"/>
          <w:numId w:val="1"/>
        </w:numPr>
        <w:spacing w:after="6" w:line="216" w:lineRule="auto"/>
        <w:ind w:right="64" w:hanging="5"/>
        <w:rPr>
          <w:sz w:val="24"/>
          <w:szCs w:val="24"/>
        </w:rPr>
      </w:pPr>
      <w:r w:rsidRPr="003D24D3">
        <w:rPr>
          <w:sz w:val="24"/>
          <w:szCs w:val="24"/>
        </w:rPr>
        <w:t>Fournir au moins deux (02) marchés similaire attestés soit par les attestations de bonne exécution, soit par les Procès-Verbaux (PV) de réception provisoire ou définitive, accompagnés des copies des pages de garde et de signature des marchés.</w:t>
      </w:r>
    </w:p>
    <w:p w14:paraId="5A9647F7" w14:textId="77777777" w:rsidR="00205CDC" w:rsidRPr="003D24D3" w:rsidRDefault="00205CDC" w:rsidP="00205CDC">
      <w:pPr>
        <w:spacing w:after="6" w:line="216" w:lineRule="auto"/>
        <w:ind w:left="103" w:right="64"/>
        <w:rPr>
          <w:b/>
          <w:bCs/>
          <w:sz w:val="24"/>
          <w:szCs w:val="24"/>
        </w:rPr>
      </w:pPr>
    </w:p>
    <w:p w14:paraId="5253C7BD" w14:textId="77777777" w:rsidR="00205CDC" w:rsidRPr="003D24D3" w:rsidRDefault="00205CDC" w:rsidP="00205CDC">
      <w:pPr>
        <w:spacing w:after="0" w:line="216" w:lineRule="auto"/>
        <w:ind w:right="59"/>
        <w:jc w:val="both"/>
        <w:rPr>
          <w:sz w:val="24"/>
          <w:szCs w:val="24"/>
        </w:rPr>
      </w:pPr>
      <w:proofErr w:type="gramStart"/>
      <w:r w:rsidRPr="003D24D3">
        <w:rPr>
          <w:b/>
          <w:bCs/>
          <w:sz w:val="24"/>
          <w:szCs w:val="24"/>
        </w:rPr>
        <w:t>NB</w:t>
      </w:r>
      <w:r w:rsidRPr="003D24D3">
        <w:rPr>
          <w:sz w:val="24"/>
          <w:szCs w:val="24"/>
        </w:rPr>
        <w:t>:</w:t>
      </w:r>
      <w:proofErr w:type="gramEnd"/>
      <w:r w:rsidRPr="003D24D3">
        <w:rPr>
          <w:sz w:val="24"/>
          <w:szCs w:val="24"/>
        </w:rPr>
        <w:t xml:space="preserve"> Les prestataires figurant sur la liste des exclusions de l'Autorité de Régulation des Marchés Publics et des Délégations de Service public (ARMDS) seront écartés. Cette liste figure sur le site </w:t>
      </w:r>
      <w:r w:rsidRPr="003D24D3">
        <w:rPr>
          <w:sz w:val="24"/>
          <w:szCs w:val="24"/>
          <w:u w:val="single" w:color="000000"/>
        </w:rPr>
        <w:t>(</w:t>
      </w:r>
      <w:hyperlink r:id="rId5" w:history="1">
        <w:r w:rsidRPr="003D24D3">
          <w:rPr>
            <w:rStyle w:val="Lienhypertexte"/>
            <w:rFonts w:eastAsiaTheme="majorEastAsia"/>
            <w:sz w:val="24"/>
            <w:szCs w:val="24"/>
          </w:rPr>
          <w:t>www.armds.gov.ml</w:t>
        </w:r>
      </w:hyperlink>
      <w:r w:rsidRPr="003D24D3">
        <w:rPr>
          <w:sz w:val="24"/>
          <w:szCs w:val="24"/>
          <w:u w:val="single" w:color="000000"/>
        </w:rPr>
        <w:t>)</w:t>
      </w:r>
      <w:r w:rsidRPr="003D24D3">
        <w:rPr>
          <w:sz w:val="24"/>
          <w:szCs w:val="24"/>
        </w:rPr>
        <w:t>.</w:t>
      </w:r>
    </w:p>
    <w:p w14:paraId="732284E9" w14:textId="77777777" w:rsidR="00205CDC" w:rsidRPr="003D24D3" w:rsidRDefault="00205CDC" w:rsidP="00205CDC">
      <w:pPr>
        <w:spacing w:after="0" w:line="216" w:lineRule="auto"/>
        <w:ind w:left="103" w:right="59" w:firstLine="5"/>
        <w:rPr>
          <w:sz w:val="24"/>
          <w:szCs w:val="24"/>
        </w:rPr>
      </w:pPr>
    </w:p>
    <w:p w14:paraId="0E51C407" w14:textId="77777777" w:rsidR="00205CDC" w:rsidRPr="003D24D3" w:rsidRDefault="00205CDC" w:rsidP="00205CDC">
      <w:pPr>
        <w:spacing w:after="0" w:line="216" w:lineRule="auto"/>
        <w:ind w:right="59"/>
        <w:jc w:val="both"/>
        <w:rPr>
          <w:sz w:val="24"/>
          <w:szCs w:val="24"/>
        </w:rPr>
      </w:pPr>
      <w:r w:rsidRPr="003D24D3">
        <w:rPr>
          <w:sz w:val="24"/>
          <w:szCs w:val="24"/>
        </w:rPr>
        <w:t xml:space="preserve">Les prestataires intéressés peuvent obtenir des informations supplémentaires à l'adresse ci-dessous et aux heures suivantes : </w:t>
      </w:r>
      <w:r w:rsidRPr="003D24D3">
        <w:rPr>
          <w:b/>
          <w:bCs/>
          <w:sz w:val="24"/>
          <w:szCs w:val="24"/>
        </w:rPr>
        <w:t>lundi au jeudi de 08 heures à 16 heures et le vendredi de 08 heures à 17 heures 30 minutes</w:t>
      </w:r>
      <w:r w:rsidRPr="003D24D3">
        <w:rPr>
          <w:sz w:val="24"/>
          <w:szCs w:val="24"/>
        </w:rPr>
        <w:t xml:space="preserve"> au Ministère de la Sécurité et de la Protection Civile à Hamdallaye ACI 2000 près du Commissariat du 14</w:t>
      </w:r>
      <w:r w:rsidRPr="003D24D3">
        <w:rPr>
          <w:sz w:val="24"/>
          <w:szCs w:val="24"/>
          <w:vertAlign w:val="superscript"/>
        </w:rPr>
        <w:t>ème</w:t>
      </w:r>
      <w:r w:rsidRPr="003D24D3">
        <w:rPr>
          <w:sz w:val="24"/>
          <w:szCs w:val="24"/>
        </w:rPr>
        <w:t xml:space="preserve"> arrondissement.</w:t>
      </w:r>
    </w:p>
    <w:p w14:paraId="71D9EAE0" w14:textId="77777777" w:rsidR="00205CDC" w:rsidRPr="003D24D3" w:rsidRDefault="00205CDC" w:rsidP="00205CDC">
      <w:pPr>
        <w:spacing w:after="0" w:line="216" w:lineRule="auto"/>
        <w:ind w:right="59"/>
        <w:jc w:val="both"/>
        <w:rPr>
          <w:sz w:val="24"/>
          <w:szCs w:val="24"/>
        </w:rPr>
      </w:pPr>
    </w:p>
    <w:p w14:paraId="635B7CBD" w14:textId="74E6E0DF" w:rsidR="00282387" w:rsidRPr="003D24D3" w:rsidRDefault="00205CDC" w:rsidP="00205CDC">
      <w:pPr>
        <w:spacing w:after="0"/>
        <w:ind w:left="107"/>
        <w:jc w:val="both"/>
        <w:rPr>
          <w:sz w:val="24"/>
          <w:szCs w:val="24"/>
        </w:rPr>
      </w:pPr>
      <w:r w:rsidRPr="003D24D3">
        <w:rPr>
          <w:sz w:val="24"/>
          <w:szCs w:val="24"/>
        </w:rPr>
        <w:t>Les manifestations d'intérêts écrites doivent être déposées sous la mention « </w:t>
      </w:r>
      <w:r w:rsidR="005A7643" w:rsidRPr="003D24D3">
        <w:rPr>
          <w:b/>
          <w:bCs/>
          <w:sz w:val="24"/>
          <w:szCs w:val="24"/>
        </w:rPr>
        <w:t>le</w:t>
      </w:r>
      <w:r w:rsidR="005A7643">
        <w:rPr>
          <w:b/>
          <w:bCs/>
          <w:sz w:val="24"/>
          <w:szCs w:val="24"/>
        </w:rPr>
        <w:t>s études architecturales, techniques et le</w:t>
      </w:r>
      <w:r w:rsidR="005A7643" w:rsidRPr="003D24D3">
        <w:rPr>
          <w:b/>
          <w:bCs/>
          <w:sz w:val="24"/>
          <w:szCs w:val="24"/>
        </w:rPr>
        <w:t xml:space="preserve"> contrôle des travaux de construction des commissariats de police de </w:t>
      </w:r>
      <w:proofErr w:type="spellStart"/>
      <w:r w:rsidR="005A7643">
        <w:rPr>
          <w:b/>
          <w:bCs/>
          <w:sz w:val="24"/>
          <w:szCs w:val="24"/>
        </w:rPr>
        <w:t>Kambila</w:t>
      </w:r>
      <w:proofErr w:type="spellEnd"/>
      <w:r w:rsidR="005A7643">
        <w:rPr>
          <w:b/>
          <w:bCs/>
          <w:sz w:val="24"/>
          <w:szCs w:val="24"/>
        </w:rPr>
        <w:t xml:space="preserve"> et de </w:t>
      </w:r>
      <w:proofErr w:type="spellStart"/>
      <w:proofErr w:type="gramStart"/>
      <w:r w:rsidR="005A7643">
        <w:rPr>
          <w:b/>
          <w:bCs/>
          <w:sz w:val="24"/>
          <w:szCs w:val="24"/>
        </w:rPr>
        <w:t>Kolokani</w:t>
      </w:r>
      <w:proofErr w:type="spellEnd"/>
      <w:r w:rsidRPr="003D24D3">
        <w:rPr>
          <w:sz w:val="24"/>
          <w:szCs w:val="24"/>
        </w:rPr>
        <w:t>»</w:t>
      </w:r>
      <w:proofErr w:type="gramEnd"/>
      <w:r w:rsidRPr="003D24D3">
        <w:rPr>
          <w:b/>
          <w:bCs/>
          <w:sz w:val="24"/>
          <w:szCs w:val="24"/>
        </w:rPr>
        <w:t xml:space="preserve"> </w:t>
      </w:r>
      <w:r w:rsidRPr="003D24D3">
        <w:rPr>
          <w:sz w:val="24"/>
          <w:szCs w:val="24"/>
        </w:rPr>
        <w:t xml:space="preserve">pour le compte du Ministère de la Sécurité et de la Protection Civile en personne ou par courrier au Secrétariat de la </w:t>
      </w:r>
      <w:r w:rsidRPr="003D24D3">
        <w:rPr>
          <w:b/>
          <w:bCs/>
          <w:sz w:val="24"/>
          <w:szCs w:val="24"/>
        </w:rPr>
        <w:t>Direction des Finances et du Matériel du Ministère de la Sécurité et de la Protection Civile</w:t>
      </w:r>
      <w:r w:rsidRPr="003D24D3">
        <w:rPr>
          <w:sz w:val="24"/>
          <w:szCs w:val="24"/>
        </w:rPr>
        <w:t xml:space="preserve"> sis à Hamdallaye plus tard, </w:t>
      </w:r>
      <w:r w:rsidRPr="003D24D3">
        <w:rPr>
          <w:b/>
          <w:bCs/>
          <w:sz w:val="24"/>
          <w:szCs w:val="24"/>
          <w:u w:val="single" w:color="000000"/>
        </w:rPr>
        <w:t>le mercredi 1</w:t>
      </w:r>
      <w:r w:rsidR="00BC31C0">
        <w:rPr>
          <w:b/>
          <w:bCs/>
          <w:sz w:val="24"/>
          <w:szCs w:val="24"/>
          <w:u w:val="single" w:color="000000"/>
        </w:rPr>
        <w:t>7 septembre</w:t>
      </w:r>
      <w:r w:rsidR="000476B4" w:rsidRPr="003D24D3">
        <w:rPr>
          <w:b/>
          <w:bCs/>
          <w:sz w:val="24"/>
          <w:szCs w:val="24"/>
          <w:u w:val="single" w:color="000000"/>
        </w:rPr>
        <w:t xml:space="preserve"> </w:t>
      </w:r>
      <w:r w:rsidRPr="003D24D3">
        <w:rPr>
          <w:b/>
          <w:bCs/>
          <w:sz w:val="24"/>
          <w:szCs w:val="24"/>
          <w:u w:val="single" w:color="000000"/>
        </w:rPr>
        <w:t>202</w:t>
      </w:r>
      <w:r w:rsidR="000476B4" w:rsidRPr="003D24D3">
        <w:rPr>
          <w:b/>
          <w:bCs/>
          <w:sz w:val="24"/>
          <w:szCs w:val="24"/>
          <w:u w:val="single" w:color="000000"/>
        </w:rPr>
        <w:t>5</w:t>
      </w:r>
      <w:r w:rsidRPr="003D24D3">
        <w:rPr>
          <w:sz w:val="24"/>
          <w:szCs w:val="24"/>
        </w:rPr>
        <w:t xml:space="preserve"> à 10 heu</w:t>
      </w:r>
      <w:r w:rsidR="000476B4" w:rsidRPr="003D24D3">
        <w:rPr>
          <w:sz w:val="24"/>
          <w:szCs w:val="24"/>
        </w:rPr>
        <w:t>res.</w:t>
      </w:r>
    </w:p>
    <w:sectPr w:rsidR="00282387" w:rsidRPr="003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570"/>
    <w:multiLevelType w:val="hybridMultilevel"/>
    <w:tmpl w:val="70C247EA"/>
    <w:lvl w:ilvl="0" w:tplc="531272EA">
      <w:start w:val="1"/>
      <w:numFmt w:val="bullet"/>
      <w:lvlText w:val="-"/>
      <w:lvlJc w:val="left"/>
      <w:pPr>
        <w:ind w:left="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5D25776">
      <w:start w:val="1"/>
      <w:numFmt w:val="bullet"/>
      <w:lvlText w:val="o"/>
      <w:lvlJc w:val="left"/>
      <w:pPr>
        <w:ind w:left="11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B62CDC">
      <w:start w:val="1"/>
      <w:numFmt w:val="bullet"/>
      <w:lvlText w:val="▪"/>
      <w:lvlJc w:val="left"/>
      <w:pPr>
        <w:ind w:left="18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64F5F2">
      <w:start w:val="1"/>
      <w:numFmt w:val="bullet"/>
      <w:lvlText w:val="•"/>
      <w:lvlJc w:val="left"/>
      <w:pPr>
        <w:ind w:left="26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9D0C7EC">
      <w:start w:val="1"/>
      <w:numFmt w:val="bullet"/>
      <w:lvlText w:val="o"/>
      <w:lvlJc w:val="left"/>
      <w:pPr>
        <w:ind w:left="333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4E5564">
      <w:start w:val="1"/>
      <w:numFmt w:val="bullet"/>
      <w:lvlText w:val="▪"/>
      <w:lvlJc w:val="left"/>
      <w:pPr>
        <w:ind w:left="405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B78DD1E">
      <w:start w:val="1"/>
      <w:numFmt w:val="bullet"/>
      <w:lvlText w:val="•"/>
      <w:lvlJc w:val="left"/>
      <w:pPr>
        <w:ind w:left="47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33E0DE4">
      <w:start w:val="1"/>
      <w:numFmt w:val="bullet"/>
      <w:lvlText w:val="o"/>
      <w:lvlJc w:val="left"/>
      <w:pPr>
        <w:ind w:left="54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8448234">
      <w:start w:val="1"/>
      <w:numFmt w:val="bullet"/>
      <w:lvlText w:val="▪"/>
      <w:lvlJc w:val="left"/>
      <w:pPr>
        <w:ind w:left="62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16cid:durableId="103920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87"/>
    <w:rsid w:val="000476B4"/>
    <w:rsid w:val="001A731C"/>
    <w:rsid w:val="00205CDC"/>
    <w:rsid w:val="00230B74"/>
    <w:rsid w:val="00282387"/>
    <w:rsid w:val="002C0369"/>
    <w:rsid w:val="003D24D3"/>
    <w:rsid w:val="004128C8"/>
    <w:rsid w:val="005A7643"/>
    <w:rsid w:val="005C462D"/>
    <w:rsid w:val="00735DC3"/>
    <w:rsid w:val="00AF02ED"/>
    <w:rsid w:val="00BC31C0"/>
    <w:rsid w:val="00CD2E42"/>
    <w:rsid w:val="00CD6327"/>
    <w:rsid w:val="00E74ED0"/>
    <w:rsid w:val="00FC71FB"/>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7515"/>
  <w15:chartTrackingRefBased/>
  <w15:docId w15:val="{60DEBB44-4981-4CA6-9BF2-B8AD5A5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87"/>
    <w:pPr>
      <w:spacing w:line="256" w:lineRule="auto"/>
    </w:pPr>
    <w:rPr>
      <w:rFonts w:ascii="Times New Roman" w:eastAsia="Times New Roman" w:hAnsi="Times New Roman" w:cs="Times New Roman"/>
      <w:color w:val="000000"/>
      <w:kern w:val="0"/>
      <w:sz w:val="22"/>
      <w:szCs w:val="22"/>
      <w:lang w:val="fr-FR" w:eastAsia="fr-FR"/>
      <w14:ligatures w14:val="none"/>
    </w:rPr>
  </w:style>
  <w:style w:type="paragraph" w:styleId="Titre1">
    <w:name w:val="heading 1"/>
    <w:basedOn w:val="Normal"/>
    <w:next w:val="Normal"/>
    <w:link w:val="Titre1Car"/>
    <w:uiPriority w:val="9"/>
    <w:qFormat/>
    <w:rsid w:val="00282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2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23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23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23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23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23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23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23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3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23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23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23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23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23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23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23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2387"/>
    <w:rPr>
      <w:rFonts w:eastAsiaTheme="majorEastAsia" w:cstheme="majorBidi"/>
      <w:color w:val="272727" w:themeColor="text1" w:themeTint="D8"/>
    </w:rPr>
  </w:style>
  <w:style w:type="paragraph" w:styleId="Titre">
    <w:name w:val="Title"/>
    <w:basedOn w:val="Normal"/>
    <w:next w:val="Normal"/>
    <w:link w:val="TitreCar"/>
    <w:uiPriority w:val="10"/>
    <w:qFormat/>
    <w:rsid w:val="0028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23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23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23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2387"/>
    <w:pPr>
      <w:spacing w:before="160"/>
      <w:jc w:val="center"/>
    </w:pPr>
    <w:rPr>
      <w:i/>
      <w:iCs/>
      <w:color w:val="404040" w:themeColor="text1" w:themeTint="BF"/>
    </w:rPr>
  </w:style>
  <w:style w:type="character" w:customStyle="1" w:styleId="CitationCar">
    <w:name w:val="Citation Car"/>
    <w:basedOn w:val="Policepardfaut"/>
    <w:link w:val="Citation"/>
    <w:uiPriority w:val="29"/>
    <w:rsid w:val="00282387"/>
    <w:rPr>
      <w:i/>
      <w:iCs/>
      <w:color w:val="404040" w:themeColor="text1" w:themeTint="BF"/>
    </w:rPr>
  </w:style>
  <w:style w:type="paragraph" w:styleId="Paragraphedeliste">
    <w:name w:val="List Paragraph"/>
    <w:basedOn w:val="Normal"/>
    <w:uiPriority w:val="34"/>
    <w:qFormat/>
    <w:rsid w:val="00282387"/>
    <w:pPr>
      <w:ind w:left="720"/>
      <w:contextualSpacing/>
    </w:pPr>
  </w:style>
  <w:style w:type="character" w:styleId="Accentuationintense">
    <w:name w:val="Intense Emphasis"/>
    <w:basedOn w:val="Policepardfaut"/>
    <w:uiPriority w:val="21"/>
    <w:qFormat/>
    <w:rsid w:val="00282387"/>
    <w:rPr>
      <w:i/>
      <w:iCs/>
      <w:color w:val="2F5496" w:themeColor="accent1" w:themeShade="BF"/>
    </w:rPr>
  </w:style>
  <w:style w:type="paragraph" w:styleId="Citationintense">
    <w:name w:val="Intense Quote"/>
    <w:basedOn w:val="Normal"/>
    <w:next w:val="Normal"/>
    <w:link w:val="CitationintenseCar"/>
    <w:uiPriority w:val="30"/>
    <w:qFormat/>
    <w:rsid w:val="00282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2387"/>
    <w:rPr>
      <w:i/>
      <w:iCs/>
      <w:color w:val="2F5496" w:themeColor="accent1" w:themeShade="BF"/>
    </w:rPr>
  </w:style>
  <w:style w:type="character" w:styleId="Rfrenceintense">
    <w:name w:val="Intense Reference"/>
    <w:basedOn w:val="Policepardfaut"/>
    <w:uiPriority w:val="32"/>
    <w:qFormat/>
    <w:rsid w:val="00282387"/>
    <w:rPr>
      <w:b/>
      <w:bCs/>
      <w:smallCaps/>
      <w:color w:val="2F5496" w:themeColor="accent1" w:themeShade="BF"/>
      <w:spacing w:val="5"/>
    </w:rPr>
  </w:style>
  <w:style w:type="character" w:styleId="Lienhypertexte">
    <w:name w:val="Hyperlink"/>
    <w:basedOn w:val="Policepardfaut"/>
    <w:uiPriority w:val="99"/>
    <w:semiHidden/>
    <w:unhideWhenUsed/>
    <w:rsid w:val="00282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ds.gov.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13</cp:revision>
  <dcterms:created xsi:type="dcterms:W3CDTF">2025-07-28T11:39:00Z</dcterms:created>
  <dcterms:modified xsi:type="dcterms:W3CDTF">2025-09-01T15:21:00Z</dcterms:modified>
</cp:coreProperties>
</file>