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26" w:rsidRPr="000F1C7D" w:rsidRDefault="00A85826" w:rsidP="00A85826">
      <w:pPr>
        <w:spacing w:after="0" w:line="240" w:lineRule="auto"/>
        <w:rPr>
          <w:rFonts w:ascii="Verdana" w:hAnsi="Verdana"/>
          <w:sz w:val="20"/>
          <w:szCs w:val="20"/>
        </w:rPr>
      </w:pPr>
      <w:r w:rsidRPr="000F1C7D">
        <w:rPr>
          <w:rFonts w:ascii="Verdana" w:hAnsi="Verdana"/>
          <w:sz w:val="20"/>
          <w:szCs w:val="20"/>
        </w:rPr>
        <w:t>MINISTERE DE LA COMMUNICATION</w:t>
      </w:r>
      <w:r>
        <w:rPr>
          <w:rFonts w:ascii="Verdana" w:hAnsi="Verdana"/>
          <w:sz w:val="20"/>
          <w:szCs w:val="20"/>
        </w:rPr>
        <w:t>,</w:t>
      </w:r>
      <w:r w:rsidRPr="000F1C7D">
        <w:rPr>
          <w:rFonts w:ascii="Verdana" w:hAnsi="Verdana"/>
          <w:sz w:val="20"/>
          <w:szCs w:val="20"/>
        </w:rPr>
        <w:tab/>
      </w:r>
      <w:r w:rsidRPr="000F1C7D">
        <w:rPr>
          <w:rFonts w:ascii="Verdana" w:hAnsi="Verdana"/>
          <w:sz w:val="20"/>
          <w:szCs w:val="20"/>
        </w:rPr>
        <w:tab/>
      </w:r>
      <w:r w:rsidRPr="000F1C7D">
        <w:rPr>
          <w:rFonts w:ascii="Verdana" w:hAnsi="Verdana"/>
          <w:sz w:val="20"/>
          <w:szCs w:val="20"/>
        </w:rPr>
        <w:tab/>
      </w:r>
      <w:r w:rsidRPr="000F1C7D">
        <w:rPr>
          <w:rFonts w:ascii="Verdana" w:hAnsi="Verdana"/>
          <w:sz w:val="20"/>
          <w:szCs w:val="20"/>
        </w:rPr>
        <w:tab/>
        <w:t xml:space="preserve">       REPUBLIQUE DU MALI</w:t>
      </w:r>
    </w:p>
    <w:p w:rsidR="00A85826" w:rsidRDefault="00A85826" w:rsidP="00A8582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L’ECONOMIE NUMERIQUE  ET DE                                         </w:t>
      </w:r>
      <w:r w:rsidRPr="000F1C7D">
        <w:rPr>
          <w:rFonts w:ascii="Verdana" w:hAnsi="Verdana"/>
          <w:sz w:val="20"/>
          <w:szCs w:val="20"/>
        </w:rPr>
        <w:t>Un Peuple – Un But – Une Foi</w:t>
      </w:r>
    </w:p>
    <w:p w:rsidR="00A85826" w:rsidRDefault="00A85826" w:rsidP="00A8582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MODERNISATION DE L’ADMINISTRATION                                        </w:t>
      </w:r>
      <w:r w:rsidRPr="000F1C7D">
        <w:rPr>
          <w:rFonts w:ascii="Verdana" w:hAnsi="Verdana"/>
          <w:sz w:val="20"/>
          <w:szCs w:val="20"/>
        </w:rPr>
        <w:t>*************</w:t>
      </w:r>
    </w:p>
    <w:p w:rsidR="00A85826" w:rsidRPr="000F1C7D" w:rsidRDefault="00A85826" w:rsidP="00A85826">
      <w:pPr>
        <w:spacing w:after="0" w:line="240" w:lineRule="auto"/>
        <w:rPr>
          <w:rFonts w:ascii="Verdana" w:hAnsi="Verdana"/>
          <w:sz w:val="20"/>
          <w:szCs w:val="20"/>
        </w:rPr>
      </w:pPr>
      <w:r w:rsidRPr="000F1C7D">
        <w:rPr>
          <w:rFonts w:ascii="Verdana" w:hAnsi="Verdana"/>
          <w:sz w:val="20"/>
          <w:szCs w:val="20"/>
        </w:rPr>
        <w:t>******************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A85826" w:rsidRPr="000F1C7D" w:rsidRDefault="00A85826" w:rsidP="00A85826">
      <w:pPr>
        <w:spacing w:after="0" w:line="240" w:lineRule="auto"/>
        <w:rPr>
          <w:rFonts w:ascii="Verdana" w:hAnsi="Verdana"/>
          <w:sz w:val="20"/>
          <w:szCs w:val="20"/>
        </w:rPr>
      </w:pPr>
      <w:r w:rsidRPr="000F1C7D">
        <w:rPr>
          <w:rFonts w:ascii="Verdana" w:hAnsi="Verdana"/>
          <w:sz w:val="20"/>
          <w:szCs w:val="20"/>
        </w:rPr>
        <w:t xml:space="preserve">OFFICE DE RADIO  TELEVISION DU MALI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</w:t>
      </w:r>
      <w:r w:rsidRPr="000F1C7D">
        <w:rPr>
          <w:rFonts w:ascii="Verdana" w:hAnsi="Verdana"/>
          <w:sz w:val="20"/>
          <w:szCs w:val="20"/>
        </w:rPr>
        <w:t xml:space="preserve"> </w:t>
      </w:r>
    </w:p>
    <w:p w:rsidR="00A85826" w:rsidRDefault="00A85826" w:rsidP="00A85826">
      <w:pPr>
        <w:spacing w:after="0" w:line="240" w:lineRule="auto"/>
        <w:rPr>
          <w:rFonts w:ascii="Verdana" w:hAnsi="Verdana"/>
          <w:sz w:val="20"/>
        </w:rPr>
      </w:pPr>
      <w:r w:rsidRPr="000F1C7D">
        <w:rPr>
          <w:rFonts w:ascii="Verdana" w:hAnsi="Verdana"/>
          <w:sz w:val="20"/>
          <w:szCs w:val="20"/>
        </w:rPr>
        <w:t>**************</w:t>
      </w:r>
    </w:p>
    <w:p w:rsidR="00A85826" w:rsidRDefault="00A85826" w:rsidP="00A85826">
      <w:pPr>
        <w:spacing w:after="0" w:line="240" w:lineRule="auto"/>
        <w:rPr>
          <w:rFonts w:ascii="Verdana" w:hAnsi="Verdana"/>
          <w:sz w:val="20"/>
        </w:rPr>
      </w:pPr>
    </w:p>
    <w:p w:rsidR="00A85826" w:rsidRPr="0091676C" w:rsidRDefault="00A85826" w:rsidP="00A85826">
      <w:pPr>
        <w:spacing w:after="0" w:line="240" w:lineRule="auto"/>
        <w:rPr>
          <w:sz w:val="20"/>
        </w:rPr>
      </w:pPr>
      <w:r w:rsidRPr="00BC3705">
        <w:rPr>
          <w:noProof/>
          <w:sz w:val="20"/>
        </w:rPr>
        <w:drawing>
          <wp:inline distT="0" distB="0" distL="0" distR="0" wp14:anchorId="05EF4DF4" wp14:editId="488E5039">
            <wp:extent cx="1021057" cy="360609"/>
            <wp:effectExtent l="19050" t="0" r="7643" b="0"/>
            <wp:docPr id="952" name="Image 22" descr="ORT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M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728" cy="36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826" w:rsidRDefault="00A85826" w:rsidP="00A85826">
      <w:pPr>
        <w:pStyle w:val="NormalWeb"/>
        <w:spacing w:before="0" w:beforeAutospacing="0" w:after="0" w:afterAutospacing="0"/>
        <w:jc w:val="center"/>
        <w:rPr>
          <w:rFonts w:ascii="Gill Sans MT" w:hAnsi="Gill Sans MT"/>
          <w:b/>
          <w:bCs/>
          <w:sz w:val="26"/>
          <w:szCs w:val="26"/>
        </w:rPr>
      </w:pPr>
    </w:p>
    <w:p w:rsidR="00A85826" w:rsidRDefault="00A85826" w:rsidP="00A85826">
      <w:pPr>
        <w:pStyle w:val="NormalWeb"/>
        <w:spacing w:before="0" w:beforeAutospacing="0" w:after="0" w:afterAutospacing="0"/>
        <w:jc w:val="center"/>
        <w:rPr>
          <w:rFonts w:ascii="Gill Sans MT" w:hAnsi="Gill Sans MT"/>
          <w:b/>
          <w:bCs/>
          <w:sz w:val="26"/>
          <w:szCs w:val="26"/>
        </w:rPr>
      </w:pPr>
    </w:p>
    <w:p w:rsidR="00A85826" w:rsidRPr="00F64DA4" w:rsidRDefault="00A85826" w:rsidP="00A85826">
      <w:pPr>
        <w:pStyle w:val="NormalWeb"/>
        <w:spacing w:before="0" w:beforeAutospacing="0" w:after="0" w:afterAutospacing="0"/>
        <w:jc w:val="center"/>
        <w:rPr>
          <w:rFonts w:ascii="Gill Sans MT" w:hAnsi="Gill Sans MT"/>
          <w:b/>
          <w:bCs/>
          <w:sz w:val="26"/>
          <w:szCs w:val="26"/>
        </w:rPr>
      </w:pPr>
      <w:r w:rsidRPr="00F64DA4">
        <w:rPr>
          <w:rFonts w:ascii="Gill Sans MT" w:hAnsi="Gill Sans MT"/>
          <w:b/>
          <w:bCs/>
          <w:sz w:val="26"/>
          <w:szCs w:val="26"/>
        </w:rPr>
        <w:t>AVIS À MANIFESTATION D’INTÉRÊT</w:t>
      </w:r>
    </w:p>
    <w:p w:rsidR="00A85826" w:rsidRPr="00281F89" w:rsidRDefault="00A85826" w:rsidP="00A85826">
      <w:pPr>
        <w:pStyle w:val="NormalWeb"/>
        <w:spacing w:before="0" w:beforeAutospacing="0" w:after="0" w:afterAutospacing="0"/>
        <w:jc w:val="both"/>
        <w:rPr>
          <w:rFonts w:ascii="Gill Sans MT" w:eastAsiaTheme="minorEastAsia" w:hAnsi="Gill Sans MT" w:cstheme="minorBidi"/>
          <w:sz w:val="26"/>
          <w:szCs w:val="26"/>
          <w:lang w:val="fr-ML"/>
        </w:rPr>
      </w:pPr>
    </w:p>
    <w:p w:rsidR="00A85826" w:rsidRPr="005C3AF5" w:rsidRDefault="005C3AF5" w:rsidP="00A85826">
      <w:pPr>
        <w:spacing w:after="0" w:line="240" w:lineRule="auto"/>
        <w:jc w:val="center"/>
        <w:rPr>
          <w:rFonts w:ascii="Gill Sans MT" w:eastAsiaTheme="minorEastAsia" w:hAnsi="Gill Sans MT" w:cstheme="minorBidi"/>
          <w:sz w:val="28"/>
          <w:szCs w:val="28"/>
          <w:lang w:val="fr-ML"/>
        </w:rPr>
      </w:pPr>
      <w:r>
        <w:rPr>
          <w:rFonts w:ascii="Gill Sans MT" w:eastAsiaTheme="minorEastAsia" w:hAnsi="Gill Sans MT" w:cstheme="minorBidi"/>
          <w:b/>
          <w:sz w:val="28"/>
          <w:szCs w:val="28"/>
          <w:lang w:val="fr-ML"/>
        </w:rPr>
        <w:t>(</w:t>
      </w:r>
      <w:r w:rsidR="00A85826" w:rsidRPr="005C3AF5">
        <w:rPr>
          <w:rFonts w:ascii="Gill Sans MT" w:eastAsiaTheme="minorEastAsia" w:hAnsi="Gill Sans MT" w:cstheme="minorBidi"/>
          <w:sz w:val="28"/>
          <w:szCs w:val="28"/>
          <w:lang w:val="fr-ML"/>
        </w:rPr>
        <w:t xml:space="preserve">Recrutement </w:t>
      </w:r>
      <w:r w:rsidRPr="005C3AF5">
        <w:rPr>
          <w:rFonts w:ascii="Gill Sans MT" w:eastAsiaTheme="minorEastAsia" w:hAnsi="Gill Sans MT" w:cstheme="minorBidi"/>
          <w:sz w:val="28"/>
          <w:szCs w:val="28"/>
          <w:lang w:val="fr-ML"/>
        </w:rPr>
        <w:t>d’un consultant pour la formation du personnel financier et administratif sur les procédures de passation des marchés publics</w:t>
      </w:r>
      <w:r w:rsidR="0001051D" w:rsidRPr="005C3AF5">
        <w:rPr>
          <w:rFonts w:ascii="Gill Sans MT" w:eastAsiaTheme="minorEastAsia" w:hAnsi="Gill Sans MT" w:cstheme="minorBidi"/>
          <w:sz w:val="28"/>
          <w:szCs w:val="28"/>
          <w:lang w:val="fr-ML"/>
        </w:rPr>
        <w:t>).</w:t>
      </w:r>
    </w:p>
    <w:p w:rsidR="00A85826" w:rsidRDefault="00A85826" w:rsidP="00A85826">
      <w:pPr>
        <w:spacing w:after="0" w:line="240" w:lineRule="auto"/>
        <w:jc w:val="both"/>
        <w:rPr>
          <w:rFonts w:ascii="Gill Sans MT" w:eastAsiaTheme="minorEastAsia" w:hAnsi="Gill Sans MT" w:cstheme="minorBidi"/>
          <w:sz w:val="26"/>
          <w:szCs w:val="26"/>
          <w:lang w:val="fr-ML"/>
        </w:rPr>
      </w:pPr>
    </w:p>
    <w:p w:rsidR="00A85826" w:rsidRPr="00281F89" w:rsidRDefault="00A85826" w:rsidP="00A85826">
      <w:pPr>
        <w:spacing w:after="0" w:line="240" w:lineRule="auto"/>
        <w:jc w:val="both"/>
        <w:rPr>
          <w:rFonts w:ascii="Gill Sans MT" w:eastAsiaTheme="minorEastAsia" w:hAnsi="Gill Sans MT" w:cstheme="minorBidi"/>
          <w:sz w:val="26"/>
          <w:szCs w:val="26"/>
          <w:lang w:val="fr-ML"/>
        </w:rPr>
      </w:pPr>
    </w:p>
    <w:p w:rsidR="00A85826" w:rsidRDefault="00A85826" w:rsidP="00A85826">
      <w:pPr>
        <w:pStyle w:val="Sansinterligne"/>
        <w:jc w:val="both"/>
        <w:rPr>
          <w:rFonts w:ascii="Gill Sans MT" w:eastAsiaTheme="minorEastAsia" w:hAnsi="Gill Sans MT" w:cstheme="minorBidi"/>
          <w:sz w:val="26"/>
          <w:szCs w:val="26"/>
          <w:lang w:val="fr-ML" w:eastAsia="fr-FR"/>
        </w:rPr>
      </w:pPr>
      <w:r w:rsidRPr="00F64DA4"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 xml:space="preserve">La Direction </w:t>
      </w:r>
      <w:r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>Générale de l’Office de Radio et Télévision du Mali (ORTM)</w:t>
      </w:r>
      <w:r w:rsidRPr="00F64DA4"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 xml:space="preserve"> dispose d’un fonds sur son budget 2024 afin de financer la réalisation de</w:t>
      </w:r>
      <w:r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 xml:space="preserve"> ses</w:t>
      </w:r>
      <w:r w:rsidRPr="00F64DA4"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 xml:space="preserve"> activités et à l’intention d’utiliser une partie de ces fonds pour effectuer les paiements au titre du contrat relatif au </w:t>
      </w:r>
      <w:r w:rsidR="005C3AF5" w:rsidRPr="005C3AF5"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>recrutement d’un consultant pour la formation du personnel financier et administratif sur les procédures de passation des marchés publics</w:t>
      </w:r>
      <w:r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>.</w:t>
      </w:r>
    </w:p>
    <w:p w:rsidR="00A85826" w:rsidRPr="00F64DA4" w:rsidRDefault="00A85826" w:rsidP="00A85826">
      <w:pPr>
        <w:pStyle w:val="Sansinterligne"/>
        <w:jc w:val="both"/>
        <w:rPr>
          <w:rFonts w:ascii="Gill Sans MT" w:eastAsiaTheme="minorEastAsia" w:hAnsi="Gill Sans MT" w:cstheme="minorBidi"/>
          <w:sz w:val="26"/>
          <w:szCs w:val="26"/>
          <w:lang w:val="fr-ML" w:eastAsia="fr-FR"/>
        </w:rPr>
      </w:pPr>
    </w:p>
    <w:p w:rsidR="00A85826" w:rsidRPr="00281F89" w:rsidRDefault="00A85826" w:rsidP="00A8582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ill Sans MT" w:hAnsi="Gill Sans MT"/>
          <w:bCs/>
          <w:sz w:val="26"/>
          <w:szCs w:val="26"/>
        </w:rPr>
      </w:pPr>
      <w:r w:rsidRPr="00F64DA4"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 xml:space="preserve">Les services de </w:t>
      </w:r>
      <w:r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>Consultant</w:t>
      </w:r>
      <w:r w:rsidRPr="00F64DA4"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 xml:space="preserve"> </w:t>
      </w:r>
      <w:r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>sont</w:t>
      </w:r>
      <w:r w:rsidRPr="00F64DA4"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> :</w:t>
      </w:r>
    </w:p>
    <w:p w:rsidR="00A85826" w:rsidRDefault="00A85826" w:rsidP="00A85826">
      <w:pPr>
        <w:spacing w:after="0" w:line="240" w:lineRule="auto"/>
        <w:ind w:left="360"/>
        <w:jc w:val="both"/>
        <w:rPr>
          <w:rFonts w:ascii="Gill Sans MT" w:eastAsiaTheme="minorEastAsia" w:hAnsi="Gill Sans MT" w:cstheme="minorBidi"/>
          <w:sz w:val="26"/>
          <w:szCs w:val="26"/>
          <w:lang w:val="fr-ML"/>
        </w:rPr>
      </w:pPr>
    </w:p>
    <w:p w:rsidR="00A85826" w:rsidRPr="005C3AF5" w:rsidRDefault="00A85826" w:rsidP="00CC0506">
      <w:pPr>
        <w:spacing w:after="0" w:line="240" w:lineRule="auto"/>
        <w:jc w:val="both"/>
        <w:rPr>
          <w:rFonts w:ascii="Gill Sans MT" w:hAnsi="Gill Sans MT"/>
          <w:bCs/>
          <w:sz w:val="26"/>
          <w:szCs w:val="26"/>
        </w:rPr>
      </w:pPr>
      <w:r w:rsidRPr="00281F89">
        <w:rPr>
          <w:rFonts w:ascii="Gill Sans MT" w:hAnsi="Gill Sans MT"/>
          <w:bCs/>
          <w:sz w:val="26"/>
          <w:szCs w:val="26"/>
        </w:rPr>
        <w:t xml:space="preserve">Procéder à </w:t>
      </w:r>
      <w:r w:rsidR="005C3AF5" w:rsidRPr="005C3AF5">
        <w:rPr>
          <w:rFonts w:ascii="Gill Sans MT" w:hAnsi="Gill Sans MT"/>
          <w:bCs/>
          <w:sz w:val="26"/>
          <w:szCs w:val="26"/>
        </w:rPr>
        <w:t>la formation du personnel financier et administratif sur les procédures de passation des marchés publics</w:t>
      </w:r>
      <w:r w:rsidRPr="005C3AF5">
        <w:rPr>
          <w:rFonts w:ascii="Gill Sans MT" w:hAnsi="Gill Sans MT"/>
          <w:bCs/>
          <w:sz w:val="26"/>
          <w:szCs w:val="26"/>
        </w:rPr>
        <w:t>.</w:t>
      </w:r>
    </w:p>
    <w:p w:rsidR="00A85826" w:rsidRDefault="00A85826" w:rsidP="00A85826">
      <w:pPr>
        <w:pStyle w:val="Sansinterligne"/>
        <w:jc w:val="both"/>
        <w:rPr>
          <w:rFonts w:ascii="Gill Sans MT" w:hAnsi="Gill Sans MT"/>
          <w:sz w:val="16"/>
          <w:szCs w:val="16"/>
          <w:lang w:val="fr-ML"/>
        </w:rPr>
      </w:pPr>
    </w:p>
    <w:p w:rsidR="00A85826" w:rsidRPr="00123BE9" w:rsidRDefault="00A85826" w:rsidP="00A85826">
      <w:pPr>
        <w:pStyle w:val="Sansinterligne"/>
        <w:jc w:val="both"/>
        <w:rPr>
          <w:rFonts w:ascii="Gill Sans MT" w:hAnsi="Gill Sans MT"/>
          <w:sz w:val="16"/>
          <w:szCs w:val="16"/>
          <w:lang w:val="fr-ML"/>
        </w:rPr>
      </w:pPr>
    </w:p>
    <w:p w:rsidR="00A85826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  <w:bookmarkStart w:id="0" w:name="_GoBack"/>
      <w:r w:rsidRPr="00F64DA4">
        <w:rPr>
          <w:rFonts w:ascii="Gill Sans MT" w:hAnsi="Gill Sans MT"/>
          <w:sz w:val="26"/>
          <w:szCs w:val="26"/>
        </w:rPr>
        <w:t xml:space="preserve">La durée de la prestation </w:t>
      </w:r>
      <w:r w:rsidR="00940445">
        <w:rPr>
          <w:rFonts w:ascii="Gill Sans MT" w:hAnsi="Gill Sans MT"/>
          <w:sz w:val="26"/>
          <w:szCs w:val="26"/>
        </w:rPr>
        <w:t xml:space="preserve">globale </w:t>
      </w:r>
      <w:r w:rsidRPr="00F64DA4">
        <w:rPr>
          <w:rFonts w:ascii="Gill Sans MT" w:hAnsi="Gill Sans MT"/>
          <w:sz w:val="26"/>
          <w:szCs w:val="26"/>
        </w:rPr>
        <w:t xml:space="preserve">est fixée à </w:t>
      </w:r>
      <w:r w:rsidR="00940445">
        <w:rPr>
          <w:rFonts w:ascii="Gill Sans MT" w:hAnsi="Gill Sans MT"/>
          <w:sz w:val="26"/>
          <w:szCs w:val="26"/>
          <w:highlight w:val="yellow"/>
        </w:rPr>
        <w:t xml:space="preserve">quinze </w:t>
      </w:r>
      <w:r w:rsidRPr="0001051D">
        <w:rPr>
          <w:rFonts w:ascii="Gill Sans MT" w:hAnsi="Gill Sans MT"/>
          <w:sz w:val="26"/>
          <w:szCs w:val="26"/>
          <w:highlight w:val="yellow"/>
        </w:rPr>
        <w:t>(</w:t>
      </w:r>
      <w:r w:rsidR="00940445">
        <w:rPr>
          <w:rFonts w:ascii="Gill Sans MT" w:hAnsi="Gill Sans MT"/>
          <w:sz w:val="26"/>
          <w:szCs w:val="26"/>
          <w:highlight w:val="yellow"/>
        </w:rPr>
        <w:t>15</w:t>
      </w:r>
      <w:r w:rsidRPr="0001051D">
        <w:rPr>
          <w:rFonts w:ascii="Gill Sans MT" w:hAnsi="Gill Sans MT"/>
          <w:sz w:val="26"/>
          <w:szCs w:val="26"/>
          <w:highlight w:val="yellow"/>
        </w:rPr>
        <w:t>) jours ouvrables</w:t>
      </w:r>
      <w:r w:rsidR="00940445">
        <w:rPr>
          <w:rFonts w:ascii="Gill Sans MT" w:hAnsi="Gill Sans MT"/>
          <w:sz w:val="26"/>
          <w:szCs w:val="26"/>
        </w:rPr>
        <w:t xml:space="preserve"> dont cinq (05) jours d’animation</w:t>
      </w:r>
      <w:bookmarkEnd w:id="0"/>
      <w:r w:rsidRPr="0001051D">
        <w:rPr>
          <w:rFonts w:ascii="Gill Sans MT" w:hAnsi="Gill Sans MT"/>
          <w:sz w:val="26"/>
          <w:szCs w:val="26"/>
        </w:rPr>
        <w:t>.</w:t>
      </w:r>
    </w:p>
    <w:p w:rsidR="00A85826" w:rsidRPr="00F64DA4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</w:p>
    <w:p w:rsidR="00A85826" w:rsidRPr="00123BE9" w:rsidRDefault="00A85826" w:rsidP="00A85826">
      <w:pPr>
        <w:pStyle w:val="Sansinterligne"/>
        <w:jc w:val="both"/>
        <w:rPr>
          <w:rFonts w:ascii="Gill Sans MT" w:hAnsi="Gill Sans MT"/>
          <w:sz w:val="16"/>
          <w:szCs w:val="16"/>
        </w:rPr>
      </w:pPr>
    </w:p>
    <w:p w:rsidR="00A85826" w:rsidRPr="00F64DA4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  <w:r w:rsidRPr="00F64DA4">
        <w:rPr>
          <w:rFonts w:ascii="Gill Sans MT" w:hAnsi="Gill Sans MT"/>
          <w:sz w:val="26"/>
          <w:szCs w:val="26"/>
        </w:rPr>
        <w:t xml:space="preserve">La </w:t>
      </w:r>
      <w:r w:rsidRPr="00F64DA4"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 xml:space="preserve">Direction </w:t>
      </w:r>
      <w:r>
        <w:rPr>
          <w:rFonts w:ascii="Gill Sans MT" w:eastAsiaTheme="minorEastAsia" w:hAnsi="Gill Sans MT" w:cstheme="minorBidi"/>
          <w:sz w:val="26"/>
          <w:szCs w:val="26"/>
          <w:lang w:val="fr-ML" w:eastAsia="fr-FR"/>
        </w:rPr>
        <w:t xml:space="preserve">Générale de l’ORTM </w:t>
      </w:r>
      <w:r w:rsidRPr="00F64DA4">
        <w:rPr>
          <w:rFonts w:ascii="Gill Sans MT" w:hAnsi="Gill Sans MT"/>
          <w:sz w:val="26"/>
          <w:szCs w:val="26"/>
        </w:rPr>
        <w:t xml:space="preserve">invite les Consultants disposant de l’expertise dans </w:t>
      </w:r>
      <w:r>
        <w:rPr>
          <w:rFonts w:ascii="Gill Sans MT" w:hAnsi="Gill Sans MT"/>
          <w:sz w:val="26"/>
          <w:szCs w:val="26"/>
        </w:rPr>
        <w:t>ce domaine</w:t>
      </w:r>
      <w:r w:rsidRPr="00F64DA4">
        <w:rPr>
          <w:rFonts w:ascii="Gill Sans MT" w:hAnsi="Gill Sans MT"/>
          <w:sz w:val="26"/>
          <w:szCs w:val="26"/>
        </w:rPr>
        <w:t xml:space="preserve"> à manifester leur intérêt en fournissant les informations démontrant qu’ils possèdent les qualifications requises et les expériences pertinentes pour l’exécution des services</w:t>
      </w:r>
      <w:r>
        <w:rPr>
          <w:rFonts w:ascii="Gill Sans MT" w:hAnsi="Gill Sans MT"/>
          <w:sz w:val="26"/>
          <w:szCs w:val="26"/>
        </w:rPr>
        <w:t xml:space="preserve"> </w:t>
      </w:r>
      <w:r w:rsidRPr="001E643E">
        <w:rPr>
          <w:rFonts w:ascii="Gill Sans MT" w:hAnsi="Gill Sans MT"/>
          <w:sz w:val="26"/>
          <w:szCs w:val="26"/>
        </w:rPr>
        <w:t>(</w:t>
      </w:r>
      <w:r w:rsidRPr="001E643E">
        <w:rPr>
          <w:rFonts w:ascii="Gill Sans MT" w:hAnsi="Gill Sans MT"/>
          <w:b/>
          <w:bCs/>
          <w:i/>
          <w:iCs/>
          <w:sz w:val="26"/>
          <w:szCs w:val="26"/>
        </w:rPr>
        <w:t>documentation, référence de prestations similaires, expérience dans des missions comparables, disponibilité de personnel qualifié, etc</w:t>
      </w:r>
      <w:r w:rsidRPr="001E643E">
        <w:rPr>
          <w:rFonts w:ascii="Gill Sans MT" w:hAnsi="Gill Sans MT"/>
          <w:b/>
          <w:bCs/>
          <w:sz w:val="26"/>
          <w:szCs w:val="26"/>
        </w:rPr>
        <w:t>.</w:t>
      </w:r>
      <w:r w:rsidRPr="001E643E">
        <w:rPr>
          <w:rFonts w:ascii="Gill Sans MT" w:hAnsi="Gill Sans MT"/>
          <w:sz w:val="26"/>
          <w:szCs w:val="26"/>
        </w:rPr>
        <w:t>)</w:t>
      </w:r>
      <w:r w:rsidRPr="00F64DA4">
        <w:rPr>
          <w:rFonts w:ascii="Gill Sans MT" w:hAnsi="Gill Sans MT"/>
          <w:sz w:val="26"/>
          <w:szCs w:val="26"/>
        </w:rPr>
        <w:t xml:space="preserve">. </w:t>
      </w:r>
      <w:r w:rsidRPr="001E643E">
        <w:rPr>
          <w:rFonts w:ascii="Gill Sans MT" w:hAnsi="Gill Sans MT"/>
          <w:sz w:val="26"/>
          <w:szCs w:val="26"/>
        </w:rPr>
        <w:t xml:space="preserve">Les </w:t>
      </w:r>
      <w:r>
        <w:rPr>
          <w:rFonts w:ascii="Gill Sans MT" w:hAnsi="Gill Sans MT"/>
          <w:sz w:val="26"/>
          <w:szCs w:val="26"/>
        </w:rPr>
        <w:t>C</w:t>
      </w:r>
      <w:r w:rsidRPr="001E643E">
        <w:rPr>
          <w:rFonts w:ascii="Gill Sans MT" w:hAnsi="Gill Sans MT"/>
          <w:sz w:val="26"/>
          <w:szCs w:val="26"/>
        </w:rPr>
        <w:t>onsultants peuvent se mettre en association pour augmenter leurs chances de qualification.</w:t>
      </w:r>
    </w:p>
    <w:p w:rsidR="00A85826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</w:p>
    <w:p w:rsidR="00A85826" w:rsidRPr="00F64DA4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  <w:r w:rsidRPr="00F64DA4">
        <w:rPr>
          <w:rFonts w:ascii="Gill Sans MT" w:hAnsi="Gill Sans MT"/>
          <w:sz w:val="26"/>
          <w:szCs w:val="26"/>
        </w:rPr>
        <w:t>Les critères d’évaluation et le barème de notation y relatif sont :</w:t>
      </w:r>
    </w:p>
    <w:p w:rsidR="00A85826" w:rsidRPr="00F64DA4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704"/>
        <w:gridCol w:w="7513"/>
        <w:gridCol w:w="1417"/>
      </w:tblGrid>
      <w:tr w:rsidR="00A85826" w:rsidRPr="00F64DA4" w:rsidTr="009A3B36">
        <w:tc>
          <w:tcPr>
            <w:tcW w:w="8217" w:type="dxa"/>
            <w:gridSpan w:val="2"/>
          </w:tcPr>
          <w:p w:rsidR="00A85826" w:rsidRPr="00F64DA4" w:rsidRDefault="00A85826" w:rsidP="009A3B36">
            <w:pPr>
              <w:pStyle w:val="Sansinterligne"/>
              <w:numPr>
                <w:ilvl w:val="0"/>
                <w:numId w:val="1"/>
              </w:numPr>
              <w:jc w:val="both"/>
              <w:rPr>
                <w:rFonts w:ascii="Gill Sans MT" w:hAnsi="Gill Sans MT"/>
                <w:b/>
                <w:bCs/>
                <w:sz w:val="26"/>
                <w:szCs w:val="26"/>
                <w:lang w:val="fr-ML"/>
              </w:rPr>
            </w:pPr>
            <w:r w:rsidRPr="00F64DA4">
              <w:rPr>
                <w:rFonts w:ascii="Gill Sans MT" w:hAnsi="Gill Sans MT"/>
                <w:b/>
                <w:bCs/>
                <w:sz w:val="26"/>
                <w:szCs w:val="26"/>
                <w:lang w:val="fr-ML"/>
              </w:rPr>
              <w:t xml:space="preserve">Qualification générale </w:t>
            </w:r>
            <w:r>
              <w:rPr>
                <w:rFonts w:ascii="Gill Sans MT" w:hAnsi="Gill Sans MT"/>
                <w:b/>
                <w:bCs/>
                <w:sz w:val="26"/>
                <w:szCs w:val="26"/>
                <w:lang w:val="fr-ML"/>
              </w:rPr>
              <w:t>du Consultant</w:t>
            </w:r>
          </w:p>
        </w:tc>
        <w:tc>
          <w:tcPr>
            <w:tcW w:w="1417" w:type="dxa"/>
          </w:tcPr>
          <w:p w:rsidR="00A85826" w:rsidRPr="00F64DA4" w:rsidRDefault="0001051D" w:rsidP="009A3B36">
            <w:pPr>
              <w:pStyle w:val="Sansinterligne"/>
              <w:jc w:val="both"/>
              <w:rPr>
                <w:rFonts w:ascii="Gill Sans MT" w:hAnsi="Gill Sans MT"/>
                <w:b/>
                <w:bCs/>
                <w:sz w:val="26"/>
                <w:szCs w:val="26"/>
              </w:rPr>
            </w:pPr>
            <w:r>
              <w:rPr>
                <w:rFonts w:ascii="Gill Sans MT" w:hAnsi="Gill Sans MT"/>
                <w:b/>
                <w:bCs/>
                <w:sz w:val="26"/>
                <w:szCs w:val="26"/>
              </w:rPr>
              <w:t>35</w:t>
            </w:r>
            <w:r w:rsidR="00A85826" w:rsidRPr="00F64DA4">
              <w:rPr>
                <w:rFonts w:ascii="Gill Sans MT" w:hAnsi="Gill Sans MT"/>
                <w:b/>
                <w:bCs/>
                <w:sz w:val="26"/>
                <w:szCs w:val="26"/>
              </w:rPr>
              <w:t xml:space="preserve"> points</w:t>
            </w:r>
          </w:p>
        </w:tc>
      </w:tr>
      <w:tr w:rsidR="00A85826" w:rsidRPr="00F64DA4" w:rsidTr="009A3B36">
        <w:tc>
          <w:tcPr>
            <w:tcW w:w="704" w:type="dxa"/>
          </w:tcPr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</w:rPr>
            </w:pPr>
            <w:r w:rsidRPr="00F64DA4">
              <w:rPr>
                <w:rFonts w:ascii="Gill Sans MT" w:hAnsi="Gill Sans MT"/>
                <w:sz w:val="26"/>
                <w:szCs w:val="26"/>
              </w:rPr>
              <w:t>1.1</w:t>
            </w:r>
          </w:p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</w:rPr>
            </w:pPr>
          </w:p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</w:rPr>
            </w:pPr>
          </w:p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</w:rPr>
            </w:pPr>
          </w:p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</w:rPr>
            </w:pPr>
          </w:p>
        </w:tc>
        <w:tc>
          <w:tcPr>
            <w:tcW w:w="7513" w:type="dxa"/>
          </w:tcPr>
          <w:p w:rsidR="00A85826" w:rsidRPr="00B6499A" w:rsidRDefault="00A85826" w:rsidP="009A3B36">
            <w:pPr>
              <w:pStyle w:val="Sansinterligne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  <w:r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>Expériences Professionnelles :</w:t>
            </w:r>
          </w:p>
          <w:p w:rsidR="00A85826" w:rsidRPr="00B6499A" w:rsidRDefault="00A85826" w:rsidP="009A3B36">
            <w:pPr>
              <w:pStyle w:val="Sansinterligne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  <w:r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Plus de 15 ans d’expériences              : </w:t>
            </w:r>
            <w:r w:rsidR="003E2FE7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>35</w:t>
            </w:r>
            <w:r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 points</w:t>
            </w:r>
          </w:p>
          <w:p w:rsidR="00A85826" w:rsidRPr="00B6499A" w:rsidRDefault="00A85826" w:rsidP="009A3B36">
            <w:pPr>
              <w:pStyle w:val="Sansinterligne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  <w:r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Avoir entre 5 et 15 ans d’expériences : </w:t>
            </w:r>
            <w:r w:rsidR="003E2FE7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>2</w:t>
            </w:r>
            <w:r w:rsidR="00B6499A"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>0</w:t>
            </w:r>
            <w:r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 points</w:t>
            </w:r>
          </w:p>
          <w:p w:rsidR="00A85826" w:rsidRPr="00B6499A" w:rsidRDefault="00A85826" w:rsidP="009A3B36">
            <w:pPr>
              <w:pStyle w:val="Sansinterligne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  <w:r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Moins de 10 ans                                  : </w:t>
            </w:r>
            <w:r w:rsidR="00B6499A"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>10</w:t>
            </w:r>
            <w:r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 point</w:t>
            </w:r>
          </w:p>
          <w:p w:rsidR="00A85826" w:rsidRPr="00B6499A" w:rsidRDefault="00A85826" w:rsidP="009A3B36">
            <w:pPr>
              <w:pStyle w:val="Sansinterligne"/>
              <w:jc w:val="both"/>
              <w:rPr>
                <w:rFonts w:ascii="Gill Sans MT" w:hAnsi="Gill Sans MT"/>
                <w:color w:val="000000" w:themeColor="text1"/>
                <w:sz w:val="16"/>
                <w:szCs w:val="16"/>
                <w:lang w:val="fr-ML"/>
              </w:rPr>
            </w:pPr>
          </w:p>
          <w:p w:rsidR="00A85826" w:rsidRPr="00B6499A" w:rsidRDefault="00A85826" w:rsidP="009A3B36">
            <w:pPr>
              <w:pStyle w:val="Sansinterligne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  <w:r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>Le Consultant doit fournir la copie du RCCM.</w:t>
            </w:r>
          </w:p>
        </w:tc>
        <w:tc>
          <w:tcPr>
            <w:tcW w:w="1417" w:type="dxa"/>
          </w:tcPr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  <w:lang w:val="fr-ML"/>
              </w:rPr>
            </w:pPr>
          </w:p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  <w:lang w:val="fr-ML"/>
              </w:rPr>
            </w:pPr>
          </w:p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  <w:lang w:val="fr-ML"/>
              </w:rPr>
            </w:pPr>
          </w:p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  <w:lang w:val="fr-ML"/>
              </w:rPr>
            </w:pPr>
          </w:p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  <w:lang w:val="fr-ML"/>
              </w:rPr>
            </w:pPr>
          </w:p>
        </w:tc>
      </w:tr>
      <w:tr w:rsidR="00A85826" w:rsidRPr="00F64DA4" w:rsidTr="009A3B36">
        <w:tc>
          <w:tcPr>
            <w:tcW w:w="8217" w:type="dxa"/>
            <w:gridSpan w:val="2"/>
          </w:tcPr>
          <w:p w:rsidR="00A85826" w:rsidRPr="00B6499A" w:rsidRDefault="00A85826" w:rsidP="009A3B36">
            <w:pPr>
              <w:pStyle w:val="Sansinterligne"/>
              <w:numPr>
                <w:ilvl w:val="0"/>
                <w:numId w:val="1"/>
              </w:numPr>
              <w:jc w:val="both"/>
              <w:rPr>
                <w:rFonts w:ascii="Gill Sans MT" w:hAnsi="Gill Sans MT"/>
                <w:b/>
                <w:bCs/>
                <w:color w:val="000000" w:themeColor="text1"/>
                <w:sz w:val="26"/>
                <w:szCs w:val="26"/>
                <w:lang w:val="fr-ML"/>
              </w:rPr>
            </w:pPr>
            <w:r w:rsidRPr="00B6499A">
              <w:rPr>
                <w:rFonts w:ascii="Gill Sans MT" w:hAnsi="Gill Sans MT"/>
                <w:b/>
                <w:bCs/>
                <w:color w:val="000000" w:themeColor="text1"/>
                <w:sz w:val="26"/>
                <w:szCs w:val="26"/>
                <w:lang w:val="fr-ML"/>
              </w:rPr>
              <w:t>Expériences similaires à la prestation à fournir</w:t>
            </w:r>
          </w:p>
        </w:tc>
        <w:tc>
          <w:tcPr>
            <w:tcW w:w="1417" w:type="dxa"/>
          </w:tcPr>
          <w:p w:rsidR="00A85826" w:rsidRPr="00F64DA4" w:rsidRDefault="0001051D" w:rsidP="009A3B36">
            <w:pPr>
              <w:pStyle w:val="Sansinterligne"/>
              <w:jc w:val="both"/>
              <w:rPr>
                <w:rFonts w:ascii="Gill Sans MT" w:hAnsi="Gill Sans MT"/>
                <w:b/>
                <w:bCs/>
                <w:sz w:val="26"/>
                <w:szCs w:val="26"/>
              </w:rPr>
            </w:pPr>
            <w:r>
              <w:rPr>
                <w:rFonts w:ascii="Gill Sans MT" w:hAnsi="Gill Sans MT"/>
                <w:b/>
                <w:bCs/>
                <w:sz w:val="26"/>
                <w:szCs w:val="26"/>
              </w:rPr>
              <w:t>4</w:t>
            </w:r>
            <w:r w:rsidR="00B6499A">
              <w:rPr>
                <w:rFonts w:ascii="Gill Sans MT" w:hAnsi="Gill Sans MT"/>
                <w:b/>
                <w:bCs/>
                <w:sz w:val="26"/>
                <w:szCs w:val="26"/>
              </w:rPr>
              <w:t>5</w:t>
            </w:r>
            <w:r w:rsidR="00A85826" w:rsidRPr="00F64DA4">
              <w:rPr>
                <w:rFonts w:ascii="Gill Sans MT" w:hAnsi="Gill Sans MT"/>
                <w:b/>
                <w:bCs/>
                <w:sz w:val="26"/>
                <w:szCs w:val="26"/>
              </w:rPr>
              <w:t xml:space="preserve"> points</w:t>
            </w:r>
          </w:p>
        </w:tc>
      </w:tr>
      <w:tr w:rsidR="00A85826" w:rsidRPr="00F64DA4" w:rsidTr="009A3B36">
        <w:tc>
          <w:tcPr>
            <w:tcW w:w="704" w:type="dxa"/>
          </w:tcPr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</w:rPr>
            </w:pPr>
            <w:r w:rsidRPr="00F64DA4">
              <w:rPr>
                <w:rFonts w:ascii="Gill Sans MT" w:hAnsi="Gill Sans MT"/>
                <w:sz w:val="26"/>
                <w:szCs w:val="26"/>
              </w:rPr>
              <w:lastRenderedPageBreak/>
              <w:t>2.1</w:t>
            </w:r>
          </w:p>
        </w:tc>
        <w:tc>
          <w:tcPr>
            <w:tcW w:w="7513" w:type="dxa"/>
          </w:tcPr>
          <w:p w:rsidR="00B6499A" w:rsidRPr="00B6499A" w:rsidRDefault="00A85826" w:rsidP="00B6499A">
            <w:pPr>
              <w:pStyle w:val="Sansinterligne"/>
              <w:spacing w:line="276" w:lineRule="auto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  <w:r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>Avoir réalisé des missions similaires (</w:t>
            </w:r>
            <w:r w:rsidR="003E2FE7" w:rsidRPr="002E3B47">
              <w:rPr>
                <w:rFonts w:ascii="Times New Roman" w:hAnsi="Times New Roman" w:cs="Arial"/>
                <w:szCs w:val="24"/>
              </w:rPr>
              <w:t>form</w:t>
            </w:r>
            <w:r w:rsidR="003E2FE7">
              <w:rPr>
                <w:rFonts w:cs="Arial"/>
                <w:szCs w:val="24"/>
              </w:rPr>
              <w:t>ation du</w:t>
            </w:r>
            <w:r w:rsidR="003E2FE7" w:rsidRPr="002E3B47">
              <w:rPr>
                <w:rFonts w:ascii="Times New Roman" w:hAnsi="Times New Roman" w:cs="Arial"/>
                <w:szCs w:val="24"/>
              </w:rPr>
              <w:t xml:space="preserve"> personnel financier </w:t>
            </w:r>
            <w:r w:rsidR="003E2FE7" w:rsidRPr="00EF2FB2">
              <w:rPr>
                <w:rFonts w:ascii="Times New Roman" w:eastAsia="Times New Roman" w:hAnsi="Times New Roman"/>
                <w:sz w:val="24"/>
                <w:lang w:val="fr-FR"/>
              </w:rPr>
              <w:t>et administratif sur les procédures de passation des marchés publics</w:t>
            </w:r>
            <w:r w:rsidR="00B6499A"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>) en raison de quinze (15) points par expérience similaire.</w:t>
            </w:r>
          </w:p>
          <w:p w:rsidR="00A85826" w:rsidRPr="00B6499A" w:rsidRDefault="00A85826" w:rsidP="009A3B36">
            <w:pPr>
              <w:pStyle w:val="Sansinterligne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</w:p>
          <w:p w:rsidR="00A85826" w:rsidRPr="00B6499A" w:rsidRDefault="00A85826" w:rsidP="009A3B36">
            <w:pPr>
              <w:pStyle w:val="Sansinterligne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  <w:r w:rsidRPr="00B6499A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>Le Consultant doit fournir la preuve de ses missions.</w:t>
            </w:r>
          </w:p>
        </w:tc>
        <w:tc>
          <w:tcPr>
            <w:tcW w:w="1417" w:type="dxa"/>
          </w:tcPr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</w:rPr>
            </w:pPr>
          </w:p>
        </w:tc>
      </w:tr>
      <w:tr w:rsidR="00A85826" w:rsidRPr="00F64DA4" w:rsidTr="009A3B36">
        <w:tc>
          <w:tcPr>
            <w:tcW w:w="8217" w:type="dxa"/>
            <w:gridSpan w:val="2"/>
          </w:tcPr>
          <w:p w:rsidR="00A85826" w:rsidRPr="00A312BD" w:rsidRDefault="00A85826" w:rsidP="009A3B36">
            <w:pPr>
              <w:pStyle w:val="Sansinterligne"/>
              <w:numPr>
                <w:ilvl w:val="0"/>
                <w:numId w:val="1"/>
              </w:numPr>
              <w:jc w:val="both"/>
              <w:rPr>
                <w:rFonts w:ascii="Gill Sans MT" w:hAnsi="Gill Sans MT"/>
                <w:b/>
                <w:bCs/>
                <w:color w:val="000000" w:themeColor="text1"/>
                <w:sz w:val="26"/>
                <w:szCs w:val="26"/>
                <w:lang w:val="fr-ML"/>
              </w:rPr>
            </w:pPr>
            <w:r w:rsidRPr="00A312BD">
              <w:rPr>
                <w:rFonts w:ascii="Gill Sans MT" w:hAnsi="Gill Sans MT"/>
                <w:b/>
                <w:bCs/>
                <w:color w:val="000000" w:themeColor="text1"/>
                <w:sz w:val="26"/>
                <w:szCs w:val="26"/>
                <w:lang w:val="fr-ML"/>
              </w:rPr>
              <w:t>Personnel clé</w:t>
            </w:r>
          </w:p>
        </w:tc>
        <w:tc>
          <w:tcPr>
            <w:tcW w:w="1417" w:type="dxa"/>
          </w:tcPr>
          <w:p w:rsidR="00A85826" w:rsidRPr="00F64DA4" w:rsidRDefault="00B6499A" w:rsidP="0001051D">
            <w:pPr>
              <w:pStyle w:val="Sansinterligne"/>
              <w:jc w:val="both"/>
              <w:rPr>
                <w:rFonts w:ascii="Gill Sans MT" w:hAnsi="Gill Sans MT"/>
                <w:b/>
                <w:bCs/>
                <w:sz w:val="26"/>
                <w:szCs w:val="26"/>
              </w:rPr>
            </w:pPr>
            <w:r>
              <w:rPr>
                <w:rFonts w:ascii="Gill Sans MT" w:hAnsi="Gill Sans MT"/>
                <w:b/>
                <w:bCs/>
                <w:sz w:val="26"/>
                <w:szCs w:val="26"/>
              </w:rPr>
              <w:t>2</w:t>
            </w:r>
            <w:r w:rsidR="0001051D">
              <w:rPr>
                <w:rFonts w:ascii="Gill Sans MT" w:hAnsi="Gill Sans MT"/>
                <w:b/>
                <w:bCs/>
                <w:sz w:val="26"/>
                <w:szCs w:val="26"/>
              </w:rPr>
              <w:t>0</w:t>
            </w:r>
            <w:r w:rsidR="00A85826" w:rsidRPr="00F64DA4">
              <w:rPr>
                <w:rFonts w:ascii="Gill Sans MT" w:hAnsi="Gill Sans MT"/>
                <w:b/>
                <w:bCs/>
                <w:sz w:val="26"/>
                <w:szCs w:val="26"/>
              </w:rPr>
              <w:t xml:space="preserve"> points</w:t>
            </w:r>
          </w:p>
        </w:tc>
      </w:tr>
      <w:tr w:rsidR="00A85826" w:rsidRPr="00F64DA4" w:rsidTr="009A3B36">
        <w:tc>
          <w:tcPr>
            <w:tcW w:w="704" w:type="dxa"/>
          </w:tcPr>
          <w:p w:rsidR="00A85826" w:rsidRPr="00A312BD" w:rsidRDefault="00A85826" w:rsidP="009A3B36">
            <w:pPr>
              <w:pStyle w:val="Sansinterligne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</w:rPr>
            </w:pPr>
            <w:r w:rsidRPr="00A312BD">
              <w:rPr>
                <w:rFonts w:ascii="Gill Sans MT" w:hAnsi="Gill Sans MT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7513" w:type="dxa"/>
          </w:tcPr>
          <w:p w:rsidR="00B6499A" w:rsidRPr="00A312BD" w:rsidRDefault="00B6499A" w:rsidP="00B6499A">
            <w:pPr>
              <w:pStyle w:val="Sansinterligne"/>
              <w:numPr>
                <w:ilvl w:val="0"/>
                <w:numId w:val="3"/>
              </w:numPr>
              <w:spacing w:line="276" w:lineRule="auto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  <w:r w:rsidRPr="00A312BD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Spécialiste   disposant au moins 15 ans de pratique professionnelle et ayant une connaissance approfondie des dispositions législatives et règlementaires régissant le fonctionnement des Établissements Publics à caractère Administratifs. Il doit démontrer avoir réalisé au moins une mission de </w:t>
            </w:r>
            <w:r w:rsidR="003E2FE7" w:rsidRPr="003E2FE7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>formation du personnel financier et administratif sur les procédures de passation des marchés publics</w:t>
            </w:r>
            <w:r w:rsidRPr="00A312BD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 dans un Établissement Publics ; </w:t>
            </w:r>
            <w:r w:rsidRPr="00A312BD">
              <w:rPr>
                <w:rFonts w:ascii="Gill Sans MT" w:hAnsi="Gill Sans MT"/>
                <w:b/>
                <w:color w:val="000000" w:themeColor="text1"/>
                <w:sz w:val="26"/>
                <w:szCs w:val="26"/>
                <w:lang w:val="fr-ML"/>
              </w:rPr>
              <w:t>2</w:t>
            </w:r>
            <w:r w:rsidR="0001051D">
              <w:rPr>
                <w:rFonts w:ascii="Gill Sans MT" w:hAnsi="Gill Sans MT"/>
                <w:b/>
                <w:color w:val="000000" w:themeColor="text1"/>
                <w:sz w:val="26"/>
                <w:szCs w:val="26"/>
                <w:lang w:val="fr-ML"/>
              </w:rPr>
              <w:t>0</w:t>
            </w:r>
            <w:r w:rsidRPr="00A312BD">
              <w:rPr>
                <w:rFonts w:ascii="Gill Sans MT" w:hAnsi="Gill Sans MT"/>
                <w:b/>
                <w:color w:val="000000" w:themeColor="text1"/>
                <w:sz w:val="26"/>
                <w:szCs w:val="26"/>
                <w:lang w:val="fr-ML"/>
              </w:rPr>
              <w:t xml:space="preserve"> points</w:t>
            </w:r>
          </w:p>
          <w:p w:rsidR="00B6499A" w:rsidRPr="00A312BD" w:rsidRDefault="00B6499A" w:rsidP="00B6499A">
            <w:pPr>
              <w:pStyle w:val="Sansinterligne"/>
              <w:spacing w:line="276" w:lineRule="auto"/>
              <w:ind w:left="720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</w:p>
          <w:p w:rsidR="00B6499A" w:rsidRPr="00A312BD" w:rsidRDefault="00B6499A" w:rsidP="00B6499A">
            <w:pPr>
              <w:tabs>
                <w:tab w:val="right" w:pos="6120"/>
                <w:tab w:val="right" w:pos="7200"/>
              </w:tabs>
              <w:spacing w:after="160"/>
              <w:ind w:left="-72"/>
              <w:jc w:val="both"/>
              <w:rPr>
                <w:rFonts w:ascii="Gill Sans MT" w:eastAsia="Calibri" w:hAnsi="Gill Sans MT"/>
                <w:color w:val="000000" w:themeColor="text1"/>
                <w:sz w:val="26"/>
                <w:szCs w:val="26"/>
                <w:lang w:val="fr-ML" w:eastAsia="en-US"/>
              </w:rPr>
            </w:pPr>
            <w:r w:rsidRPr="00A312BD">
              <w:rPr>
                <w:rFonts w:ascii="Gill Sans MT" w:eastAsia="Calibri" w:hAnsi="Gill Sans MT"/>
                <w:color w:val="000000" w:themeColor="text1"/>
                <w:sz w:val="26"/>
                <w:szCs w:val="26"/>
                <w:lang w:val="fr-ML" w:eastAsia="en-US"/>
              </w:rPr>
              <w:t xml:space="preserve">            </w:t>
            </w:r>
            <w:r w:rsidR="00A312BD" w:rsidRPr="00A312BD">
              <w:rPr>
                <w:rFonts w:ascii="Gill Sans MT" w:eastAsia="Calibri" w:hAnsi="Gill Sans MT"/>
                <w:color w:val="000000" w:themeColor="text1"/>
                <w:sz w:val="26"/>
                <w:szCs w:val="26"/>
                <w:lang w:val="fr-ML" w:eastAsia="en-US"/>
              </w:rPr>
              <w:t xml:space="preserve">                 </w:t>
            </w:r>
            <w:r w:rsidRPr="00A312BD">
              <w:rPr>
                <w:rFonts w:ascii="Gill Sans MT" w:eastAsia="Calibri" w:hAnsi="Gill Sans MT"/>
                <w:color w:val="000000" w:themeColor="text1"/>
                <w:sz w:val="26"/>
                <w:szCs w:val="26"/>
                <w:lang w:val="fr-ML" w:eastAsia="en-US"/>
              </w:rPr>
              <w:t>Total des points pour le critère (iii) :</w:t>
            </w:r>
            <w:r w:rsidRPr="00A312BD">
              <w:rPr>
                <w:rFonts w:ascii="Gill Sans MT" w:eastAsia="Calibri" w:hAnsi="Gill Sans MT"/>
                <w:color w:val="000000" w:themeColor="text1"/>
                <w:sz w:val="26"/>
                <w:szCs w:val="26"/>
                <w:lang w:val="fr-ML" w:eastAsia="en-US"/>
              </w:rPr>
              <w:tab/>
              <w:t xml:space="preserve"> </w:t>
            </w:r>
            <w:r w:rsidRPr="00A312BD">
              <w:rPr>
                <w:rFonts w:ascii="Gill Sans MT" w:eastAsia="Calibri" w:hAnsi="Gill Sans MT"/>
                <w:b/>
                <w:color w:val="000000" w:themeColor="text1"/>
                <w:sz w:val="26"/>
                <w:szCs w:val="26"/>
                <w:lang w:val="fr-ML" w:eastAsia="en-US"/>
              </w:rPr>
              <w:t>2</w:t>
            </w:r>
            <w:r w:rsidR="0001051D">
              <w:rPr>
                <w:rFonts w:ascii="Gill Sans MT" w:eastAsia="Calibri" w:hAnsi="Gill Sans MT"/>
                <w:b/>
                <w:color w:val="000000" w:themeColor="text1"/>
                <w:sz w:val="26"/>
                <w:szCs w:val="26"/>
                <w:lang w:val="fr-ML" w:eastAsia="en-US"/>
              </w:rPr>
              <w:t>0</w:t>
            </w:r>
            <w:r w:rsidRPr="00A312BD">
              <w:rPr>
                <w:rFonts w:ascii="Gill Sans MT" w:eastAsia="Calibri" w:hAnsi="Gill Sans MT"/>
                <w:b/>
                <w:color w:val="000000" w:themeColor="text1"/>
                <w:sz w:val="26"/>
                <w:szCs w:val="26"/>
                <w:lang w:val="fr-ML" w:eastAsia="en-US"/>
              </w:rPr>
              <w:t xml:space="preserve"> Points</w:t>
            </w:r>
          </w:p>
          <w:p w:rsidR="00A85826" w:rsidRPr="00A312BD" w:rsidRDefault="00A85826" w:rsidP="009A3B36">
            <w:pPr>
              <w:pStyle w:val="Sansinterligne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  <w:r w:rsidRPr="00A312BD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>.</w:t>
            </w:r>
          </w:p>
          <w:p w:rsidR="00A85826" w:rsidRPr="00A312BD" w:rsidRDefault="00A85826" w:rsidP="00B6499A">
            <w:pPr>
              <w:pStyle w:val="Sansinterligne"/>
              <w:jc w:val="both"/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</w:pPr>
            <w:r w:rsidRPr="00A312BD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Le Consultant doit fournir les </w:t>
            </w:r>
            <w:proofErr w:type="gramStart"/>
            <w:r w:rsidRPr="00A312BD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CV </w:t>
            </w:r>
            <w:r w:rsidR="00B6499A" w:rsidRPr="00A312BD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du </w:t>
            </w:r>
            <w:proofErr w:type="gramEnd"/>
            <w:r w:rsidRPr="00A312BD">
              <w:rPr>
                <w:rFonts w:ascii="Gill Sans MT" w:hAnsi="Gill Sans MT"/>
                <w:color w:val="000000" w:themeColor="text1"/>
                <w:sz w:val="26"/>
                <w:szCs w:val="26"/>
                <w:lang w:val="fr-ML"/>
              </w:rPr>
              <w:t xml:space="preserve"> personne clés.</w:t>
            </w:r>
          </w:p>
        </w:tc>
        <w:tc>
          <w:tcPr>
            <w:tcW w:w="1417" w:type="dxa"/>
          </w:tcPr>
          <w:p w:rsidR="00A85826" w:rsidRPr="00F64DA4" w:rsidRDefault="00A85826" w:rsidP="009A3B36">
            <w:pPr>
              <w:pStyle w:val="Sansinterligne"/>
              <w:jc w:val="both"/>
              <w:rPr>
                <w:rFonts w:ascii="Gill Sans MT" w:hAnsi="Gill Sans MT"/>
                <w:sz w:val="26"/>
                <w:szCs w:val="26"/>
                <w:lang w:val="fr-ML"/>
              </w:rPr>
            </w:pPr>
          </w:p>
        </w:tc>
      </w:tr>
    </w:tbl>
    <w:p w:rsidR="00A85826" w:rsidRDefault="00A85826" w:rsidP="00A85826">
      <w:pPr>
        <w:pStyle w:val="Sansinterligne"/>
        <w:jc w:val="both"/>
        <w:rPr>
          <w:rFonts w:ascii="Gill Sans MT" w:hAnsi="Gill Sans MT"/>
          <w:b/>
          <w:bCs/>
          <w:i/>
          <w:iCs/>
          <w:sz w:val="26"/>
          <w:szCs w:val="26"/>
        </w:rPr>
      </w:pPr>
    </w:p>
    <w:p w:rsidR="00A85826" w:rsidRPr="00F64DA4" w:rsidRDefault="00A85826" w:rsidP="00A85826">
      <w:pPr>
        <w:pStyle w:val="Sansinterligne"/>
        <w:jc w:val="both"/>
        <w:rPr>
          <w:rFonts w:ascii="Gill Sans MT" w:hAnsi="Gill Sans MT"/>
          <w:b/>
          <w:bCs/>
          <w:i/>
          <w:iCs/>
          <w:sz w:val="26"/>
          <w:szCs w:val="26"/>
        </w:rPr>
      </w:pPr>
      <w:r w:rsidRPr="00F64DA4">
        <w:rPr>
          <w:rFonts w:ascii="Gill Sans MT" w:hAnsi="Gill Sans MT"/>
          <w:b/>
          <w:bCs/>
          <w:i/>
          <w:iCs/>
          <w:sz w:val="26"/>
          <w:szCs w:val="26"/>
        </w:rPr>
        <w:t>NB : La non-fourniture des preuves demandées entraine le rejet de la manifestation d’intérêt.</w:t>
      </w:r>
    </w:p>
    <w:p w:rsidR="00A85826" w:rsidRPr="00F64DA4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</w:p>
    <w:p w:rsidR="00A85826" w:rsidRPr="00F64DA4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  <w:r w:rsidRPr="00F64DA4">
        <w:rPr>
          <w:rFonts w:ascii="Gill Sans MT" w:hAnsi="Gill Sans MT"/>
          <w:sz w:val="26"/>
          <w:szCs w:val="26"/>
        </w:rPr>
        <w:t>Il est porté à l’attention des consultants que les dispositions des articles 22 et 23 du Décret n°2015-0604/P-RM du 25 septembre 2015, modifié, portant code des marchés et des délégations de service public relatives aux règles de participation des candidats et soumissionnaires sont applicables.</w:t>
      </w:r>
      <w:r>
        <w:rPr>
          <w:rFonts w:ascii="Gill Sans MT" w:hAnsi="Gill Sans MT"/>
          <w:sz w:val="26"/>
          <w:szCs w:val="26"/>
        </w:rPr>
        <w:t xml:space="preserve"> Un Consultant sera retenu sur la base de la sélection fondée sur la qualité technique et du montant de la proposition (SFQC). </w:t>
      </w:r>
    </w:p>
    <w:p w:rsidR="00A85826" w:rsidRPr="00F64DA4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</w:p>
    <w:p w:rsidR="00A85826" w:rsidRPr="00F64DA4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  <w:r w:rsidRPr="00F64DA4">
        <w:rPr>
          <w:rFonts w:ascii="Gill Sans MT" w:hAnsi="Gill Sans MT"/>
          <w:sz w:val="26"/>
          <w:szCs w:val="26"/>
        </w:rPr>
        <w:t xml:space="preserve">Les consultants intéressés peuvent obtenir des informations supplémentaires du lundi au vendredi pendant les heures de service </w:t>
      </w:r>
      <w:r w:rsidRPr="00E025CD">
        <w:rPr>
          <w:rFonts w:ascii="Gill Sans MT" w:hAnsi="Gill Sans MT"/>
          <w:b/>
          <w:bCs/>
          <w:sz w:val="26"/>
          <w:szCs w:val="26"/>
        </w:rPr>
        <w:t xml:space="preserve">à la Division Approvisionnement et Marchés de l’ORTM, sise dans la cour de l’Office, Rue Square Patrice Lumumba, quartier </w:t>
      </w:r>
      <w:proofErr w:type="spellStart"/>
      <w:r w:rsidRPr="00E025CD">
        <w:rPr>
          <w:rFonts w:ascii="Gill Sans MT" w:hAnsi="Gill Sans MT"/>
          <w:b/>
          <w:bCs/>
          <w:sz w:val="26"/>
          <w:szCs w:val="26"/>
        </w:rPr>
        <w:t>Bozola</w:t>
      </w:r>
      <w:proofErr w:type="spellEnd"/>
      <w:r w:rsidRPr="00E025CD">
        <w:rPr>
          <w:rFonts w:ascii="Gill Sans MT" w:hAnsi="Gill Sans MT"/>
          <w:sz w:val="26"/>
          <w:szCs w:val="26"/>
        </w:rPr>
        <w:t>.</w:t>
      </w:r>
    </w:p>
    <w:p w:rsidR="00A85826" w:rsidRPr="00F64DA4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</w:p>
    <w:p w:rsidR="00A85826" w:rsidRPr="00F64DA4" w:rsidRDefault="00A85826" w:rsidP="00A85826">
      <w:pPr>
        <w:pStyle w:val="Sansinterligne"/>
        <w:jc w:val="both"/>
        <w:rPr>
          <w:rFonts w:ascii="Gill Sans MT" w:hAnsi="Gill Sans MT"/>
          <w:sz w:val="26"/>
          <w:szCs w:val="26"/>
        </w:rPr>
      </w:pPr>
      <w:r w:rsidRPr="00F64DA4">
        <w:rPr>
          <w:rFonts w:ascii="Gill Sans MT" w:hAnsi="Gill Sans MT"/>
          <w:sz w:val="26"/>
          <w:szCs w:val="26"/>
        </w:rPr>
        <w:t xml:space="preserve">Les manifestations d’intérêts écrites doivent être déposées </w:t>
      </w:r>
      <w:r w:rsidRPr="00E025CD">
        <w:rPr>
          <w:rFonts w:ascii="Gill Sans MT" w:hAnsi="Gill Sans MT"/>
          <w:b/>
          <w:bCs/>
          <w:sz w:val="26"/>
          <w:szCs w:val="26"/>
        </w:rPr>
        <w:t xml:space="preserve">à la Division Approvisionnement et Marchés de l’ORTM, sise dans la cour de l’Office, Rue Square Patrice Lumumba, quartier </w:t>
      </w:r>
      <w:proofErr w:type="spellStart"/>
      <w:r w:rsidRPr="00E025CD">
        <w:rPr>
          <w:rFonts w:ascii="Gill Sans MT" w:hAnsi="Gill Sans MT"/>
          <w:b/>
          <w:bCs/>
          <w:sz w:val="26"/>
          <w:szCs w:val="26"/>
        </w:rPr>
        <w:t>Bozola</w:t>
      </w:r>
      <w:proofErr w:type="spellEnd"/>
      <w:r w:rsidRPr="00F64DA4">
        <w:rPr>
          <w:rFonts w:ascii="Gill Sans MT" w:hAnsi="Gill Sans MT"/>
          <w:sz w:val="26"/>
          <w:szCs w:val="26"/>
        </w:rPr>
        <w:t xml:space="preserve"> en personne, par courrier, au plus tard </w:t>
      </w:r>
      <w:r w:rsidRPr="00E025CD">
        <w:rPr>
          <w:rFonts w:ascii="Gill Sans MT" w:hAnsi="Gill Sans MT"/>
          <w:sz w:val="26"/>
          <w:szCs w:val="26"/>
          <w:highlight w:val="yellow"/>
        </w:rPr>
        <w:t xml:space="preserve">le </w:t>
      </w:r>
      <w:r>
        <w:rPr>
          <w:rFonts w:ascii="Gill Sans MT" w:hAnsi="Gill Sans MT"/>
          <w:b/>
          <w:bCs/>
          <w:sz w:val="26"/>
          <w:szCs w:val="26"/>
          <w:highlight w:val="yellow"/>
        </w:rPr>
        <w:t xml:space="preserve"> ………/……/ </w:t>
      </w:r>
      <w:r w:rsidRPr="00E025CD">
        <w:rPr>
          <w:rFonts w:ascii="Gill Sans MT" w:hAnsi="Gill Sans MT"/>
          <w:b/>
          <w:bCs/>
          <w:sz w:val="26"/>
          <w:szCs w:val="26"/>
          <w:highlight w:val="yellow"/>
        </w:rPr>
        <w:t>202</w:t>
      </w:r>
      <w:r w:rsidR="002071D8">
        <w:rPr>
          <w:rFonts w:ascii="Gill Sans MT" w:hAnsi="Gill Sans MT"/>
          <w:b/>
          <w:bCs/>
          <w:sz w:val="26"/>
          <w:szCs w:val="26"/>
          <w:highlight w:val="yellow"/>
        </w:rPr>
        <w:t>5</w:t>
      </w:r>
      <w:r w:rsidRPr="00E025CD">
        <w:rPr>
          <w:rFonts w:ascii="Gill Sans MT" w:hAnsi="Gill Sans MT"/>
          <w:b/>
          <w:bCs/>
          <w:sz w:val="26"/>
          <w:szCs w:val="26"/>
          <w:highlight w:val="yellow"/>
        </w:rPr>
        <w:t xml:space="preserve"> à 10</w:t>
      </w:r>
      <w:r>
        <w:rPr>
          <w:rFonts w:ascii="Gill Sans MT" w:hAnsi="Gill Sans MT"/>
          <w:b/>
          <w:bCs/>
          <w:sz w:val="26"/>
          <w:szCs w:val="26"/>
          <w:highlight w:val="yellow"/>
        </w:rPr>
        <w:t>h</w:t>
      </w:r>
      <w:r w:rsidRPr="00E025CD">
        <w:rPr>
          <w:rFonts w:ascii="Gill Sans MT" w:hAnsi="Gill Sans MT"/>
          <w:b/>
          <w:bCs/>
          <w:sz w:val="26"/>
          <w:szCs w:val="26"/>
          <w:highlight w:val="yellow"/>
        </w:rPr>
        <w:t>00mn</w:t>
      </w:r>
      <w:r w:rsidRPr="00F64DA4">
        <w:rPr>
          <w:rFonts w:ascii="Gill Sans MT" w:hAnsi="Gill Sans MT"/>
          <w:sz w:val="26"/>
          <w:szCs w:val="26"/>
        </w:rPr>
        <w:t xml:space="preserve"> sous la mention : « </w:t>
      </w:r>
      <w:r w:rsidR="000411F4" w:rsidRPr="000411F4">
        <w:rPr>
          <w:rFonts w:ascii="Gill Sans MT" w:hAnsi="Gill Sans MT"/>
          <w:sz w:val="26"/>
          <w:szCs w:val="26"/>
        </w:rPr>
        <w:t>C</w:t>
      </w:r>
      <w:r w:rsidR="000411F4" w:rsidRPr="000411F4">
        <w:rPr>
          <w:rFonts w:ascii="Gill Sans MT" w:hAnsi="Gill Sans MT"/>
          <w:sz w:val="26"/>
          <w:szCs w:val="26"/>
        </w:rPr>
        <w:t>onsultant pour la formation du personnel financier et administratif sur les procédures de passation des marchés publics</w:t>
      </w:r>
      <w:r w:rsidRPr="00F64DA4">
        <w:rPr>
          <w:rFonts w:ascii="Gill Sans MT" w:hAnsi="Gill Sans MT"/>
          <w:sz w:val="26"/>
          <w:szCs w:val="26"/>
        </w:rPr>
        <w:t>».</w:t>
      </w:r>
    </w:p>
    <w:p w:rsidR="00A85826" w:rsidRPr="00F64DA4" w:rsidRDefault="00A85826" w:rsidP="00A85826">
      <w:pPr>
        <w:pStyle w:val="Paragraphedeliste"/>
        <w:shd w:val="clear" w:color="auto" w:fill="FFFFFF"/>
        <w:spacing w:after="0" w:line="240" w:lineRule="auto"/>
        <w:ind w:left="0"/>
        <w:rPr>
          <w:rFonts w:ascii="Gill Sans MT" w:hAnsi="Gill Sans MT"/>
          <w:sz w:val="26"/>
          <w:szCs w:val="26"/>
          <w:lang w:val="fr-ML"/>
        </w:rPr>
      </w:pPr>
    </w:p>
    <w:p w:rsidR="00A85826" w:rsidRPr="00D115D7" w:rsidRDefault="00A85826" w:rsidP="00A85826">
      <w:pPr>
        <w:spacing w:after="0" w:line="240" w:lineRule="auto"/>
        <w:rPr>
          <w:rFonts w:ascii="Gill Sans MT" w:hAnsi="Gill Sans MT"/>
          <w:b/>
          <w:sz w:val="26"/>
          <w:szCs w:val="26"/>
          <w:u w:val="single"/>
        </w:rPr>
      </w:pPr>
      <w:r w:rsidRPr="00F64DA4">
        <w:rPr>
          <w:rFonts w:ascii="Gill Sans MT" w:hAnsi="Gill Sans MT"/>
          <w:b/>
          <w:sz w:val="26"/>
          <w:szCs w:val="26"/>
        </w:rPr>
        <w:t xml:space="preserve">                                              </w:t>
      </w:r>
      <w:r>
        <w:rPr>
          <w:rFonts w:ascii="Gill Sans MT" w:hAnsi="Gill Sans MT"/>
          <w:b/>
          <w:sz w:val="26"/>
          <w:szCs w:val="26"/>
        </w:rPr>
        <w:t xml:space="preserve">                                    </w:t>
      </w:r>
      <w:r w:rsidRPr="00D115D7">
        <w:rPr>
          <w:rFonts w:ascii="Gill Sans MT" w:hAnsi="Gill Sans MT"/>
          <w:b/>
          <w:sz w:val="26"/>
          <w:szCs w:val="26"/>
          <w:u w:val="single"/>
        </w:rPr>
        <w:t>Le Directeur Général</w:t>
      </w:r>
    </w:p>
    <w:p w:rsidR="00A85826" w:rsidRDefault="00A85826" w:rsidP="00A85826">
      <w:pPr>
        <w:tabs>
          <w:tab w:val="left" w:pos="7605"/>
        </w:tabs>
        <w:spacing w:after="0" w:line="240" w:lineRule="auto"/>
        <w:jc w:val="both"/>
        <w:rPr>
          <w:rFonts w:ascii="Gill Sans MT" w:eastAsia="Arial Unicode MS" w:hAnsi="Gill Sans MT"/>
          <w:color w:val="000000"/>
          <w:sz w:val="26"/>
          <w:szCs w:val="26"/>
        </w:rPr>
      </w:pPr>
    </w:p>
    <w:p w:rsidR="00A85826" w:rsidRDefault="00A85826" w:rsidP="00A85826">
      <w:pPr>
        <w:tabs>
          <w:tab w:val="left" w:pos="7605"/>
        </w:tabs>
        <w:spacing w:after="0" w:line="240" w:lineRule="auto"/>
        <w:jc w:val="both"/>
        <w:rPr>
          <w:rFonts w:ascii="Gill Sans MT" w:eastAsia="Arial Unicode MS" w:hAnsi="Gill Sans MT"/>
          <w:color w:val="000000"/>
          <w:sz w:val="26"/>
          <w:szCs w:val="26"/>
        </w:rPr>
      </w:pPr>
    </w:p>
    <w:p w:rsidR="00A85826" w:rsidRDefault="00A85826" w:rsidP="00A85826">
      <w:pPr>
        <w:tabs>
          <w:tab w:val="left" w:pos="7605"/>
        </w:tabs>
        <w:spacing w:after="0" w:line="240" w:lineRule="auto"/>
        <w:jc w:val="both"/>
        <w:rPr>
          <w:rFonts w:ascii="Gill Sans MT" w:eastAsia="Arial Unicode MS" w:hAnsi="Gill Sans MT"/>
          <w:color w:val="000000"/>
          <w:sz w:val="26"/>
          <w:szCs w:val="26"/>
        </w:rPr>
      </w:pPr>
    </w:p>
    <w:p w:rsidR="00A85826" w:rsidRPr="00F64DA4" w:rsidRDefault="00A85826" w:rsidP="00A85826">
      <w:pPr>
        <w:spacing w:after="0" w:line="240" w:lineRule="auto"/>
        <w:jc w:val="both"/>
        <w:rPr>
          <w:rFonts w:ascii="Gill Sans MT" w:hAnsi="Gill Sans MT"/>
          <w:b/>
          <w:sz w:val="26"/>
          <w:szCs w:val="26"/>
          <w:u w:val="single"/>
        </w:rPr>
      </w:pPr>
      <w:r w:rsidRPr="00F64DA4">
        <w:rPr>
          <w:rFonts w:ascii="Gill Sans MT" w:hAnsi="Gill Sans MT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</w:t>
      </w:r>
      <w:proofErr w:type="spellStart"/>
      <w:r>
        <w:rPr>
          <w:rFonts w:ascii="Gill Sans MT" w:hAnsi="Gill Sans MT"/>
          <w:b/>
          <w:sz w:val="26"/>
          <w:szCs w:val="26"/>
          <w:u w:val="single"/>
        </w:rPr>
        <w:t>Hassane</w:t>
      </w:r>
      <w:proofErr w:type="spellEnd"/>
      <w:r>
        <w:rPr>
          <w:rFonts w:ascii="Gill Sans MT" w:hAnsi="Gill Sans MT"/>
          <w:b/>
          <w:sz w:val="26"/>
          <w:szCs w:val="26"/>
          <w:u w:val="single"/>
        </w:rPr>
        <w:t xml:space="preserve"> Baba DIOMBÉLÉ</w:t>
      </w:r>
      <w:r w:rsidRPr="00F64DA4">
        <w:rPr>
          <w:rFonts w:ascii="Gill Sans MT" w:hAnsi="Gill Sans MT"/>
          <w:b/>
          <w:sz w:val="26"/>
          <w:szCs w:val="26"/>
          <w:u w:val="single"/>
        </w:rPr>
        <w:t xml:space="preserve">                                 </w:t>
      </w:r>
    </w:p>
    <w:p w:rsidR="00A85826" w:rsidRPr="00D115D7" w:rsidRDefault="00A85826" w:rsidP="00A85826">
      <w:pPr>
        <w:spacing w:after="0" w:line="240" w:lineRule="auto"/>
        <w:rPr>
          <w:rFonts w:ascii="Gill Sans MT" w:hAnsi="Gill Sans MT"/>
          <w:b/>
          <w:i/>
          <w:sz w:val="26"/>
          <w:szCs w:val="26"/>
        </w:rPr>
      </w:pPr>
      <w:r w:rsidRPr="00F64DA4">
        <w:rPr>
          <w:rFonts w:ascii="Gill Sans MT" w:hAnsi="Gill Sans MT"/>
          <w:sz w:val="26"/>
          <w:szCs w:val="26"/>
        </w:rPr>
        <w:tab/>
      </w:r>
      <w:r w:rsidRPr="00F64DA4">
        <w:rPr>
          <w:rFonts w:ascii="Gill Sans MT" w:hAnsi="Gill Sans MT"/>
          <w:sz w:val="26"/>
          <w:szCs w:val="26"/>
        </w:rPr>
        <w:tab/>
      </w:r>
      <w:r w:rsidRPr="00F64DA4">
        <w:rPr>
          <w:rFonts w:ascii="Gill Sans MT" w:hAnsi="Gill Sans MT"/>
          <w:sz w:val="26"/>
          <w:szCs w:val="26"/>
        </w:rPr>
        <w:tab/>
      </w:r>
      <w:r w:rsidRPr="00F64DA4">
        <w:rPr>
          <w:rFonts w:ascii="Gill Sans MT" w:hAnsi="Gill Sans MT"/>
          <w:sz w:val="26"/>
          <w:szCs w:val="26"/>
        </w:rPr>
        <w:tab/>
      </w:r>
      <w:r w:rsidRPr="00F64DA4">
        <w:rPr>
          <w:rFonts w:ascii="Gill Sans MT" w:hAnsi="Gill Sans MT"/>
          <w:sz w:val="26"/>
          <w:szCs w:val="26"/>
        </w:rPr>
        <w:tab/>
      </w:r>
      <w:r w:rsidRPr="00F64DA4">
        <w:rPr>
          <w:rFonts w:ascii="Gill Sans MT" w:hAnsi="Gill Sans MT"/>
          <w:sz w:val="26"/>
          <w:szCs w:val="26"/>
        </w:rPr>
        <w:tab/>
      </w:r>
      <w:r w:rsidRPr="00F64DA4">
        <w:rPr>
          <w:rFonts w:ascii="Gill Sans MT" w:hAnsi="Gill Sans MT"/>
          <w:sz w:val="26"/>
          <w:szCs w:val="26"/>
        </w:rPr>
        <w:tab/>
      </w:r>
      <w:r w:rsidRPr="00F64DA4">
        <w:rPr>
          <w:rFonts w:ascii="Gill Sans MT" w:hAnsi="Gill Sans MT"/>
          <w:sz w:val="26"/>
          <w:szCs w:val="26"/>
        </w:rPr>
        <w:tab/>
      </w:r>
      <w:r>
        <w:rPr>
          <w:rFonts w:ascii="Gill Sans MT" w:hAnsi="Gill Sans MT"/>
          <w:sz w:val="26"/>
          <w:szCs w:val="26"/>
        </w:rPr>
        <w:t xml:space="preserve">   </w:t>
      </w:r>
      <w:r w:rsidRPr="00D115D7">
        <w:rPr>
          <w:rFonts w:ascii="Gill Sans MT" w:hAnsi="Gill Sans MT"/>
          <w:b/>
          <w:i/>
          <w:sz w:val="26"/>
          <w:szCs w:val="26"/>
        </w:rPr>
        <w:t>Officier de l’Ordre National</w:t>
      </w:r>
    </w:p>
    <w:p w:rsidR="00A85826" w:rsidRDefault="00A85826" w:rsidP="00A85826"/>
    <w:p w:rsidR="00044E81" w:rsidRDefault="00044E81"/>
    <w:sectPr w:rsidR="00044E81" w:rsidSect="003574BD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E009C"/>
    <w:multiLevelType w:val="hybridMultilevel"/>
    <w:tmpl w:val="DC5E8A9E"/>
    <w:lvl w:ilvl="0" w:tplc="2F0060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6577F"/>
    <w:multiLevelType w:val="hybridMultilevel"/>
    <w:tmpl w:val="AC5A8236"/>
    <w:lvl w:ilvl="0" w:tplc="EBACAB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43F75"/>
    <w:multiLevelType w:val="hybridMultilevel"/>
    <w:tmpl w:val="5E6822C0"/>
    <w:lvl w:ilvl="0" w:tplc="A1F24AB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26"/>
    <w:rsid w:val="0001051D"/>
    <w:rsid w:val="000411F4"/>
    <w:rsid w:val="00044E81"/>
    <w:rsid w:val="002071D8"/>
    <w:rsid w:val="003E2FE7"/>
    <w:rsid w:val="00564EF4"/>
    <w:rsid w:val="005C3AF5"/>
    <w:rsid w:val="00940445"/>
    <w:rsid w:val="00A312BD"/>
    <w:rsid w:val="00A85826"/>
    <w:rsid w:val="00B6499A"/>
    <w:rsid w:val="00CC0506"/>
    <w:rsid w:val="00D72964"/>
    <w:rsid w:val="00F4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19270-44C8-4E63-83F0-9932D234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826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58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aliases w:val="Bullets,References,Sommaire,Paragraphe à Puce,RM1,Paragraphe de liste PBLH,Table of contents numbered,Bullet Points,Liste Paragraf,Renkli Liste - Vurgu 11,Liste Paragraf1,Bullet OFM,List Paragraph1,Farbige Liste - Akzent 11,Graphic"/>
    <w:basedOn w:val="Normal"/>
    <w:link w:val="ParagraphedelisteCar"/>
    <w:qFormat/>
    <w:rsid w:val="00A85826"/>
    <w:pPr>
      <w:ind w:left="720"/>
      <w:contextualSpacing/>
    </w:pPr>
    <w:rPr>
      <w:rFonts w:eastAsia="Calibri"/>
      <w:lang w:eastAsia="en-US"/>
    </w:rPr>
  </w:style>
  <w:style w:type="paragraph" w:styleId="Sansinterligne">
    <w:name w:val="No Spacing"/>
    <w:link w:val="SansinterligneCar"/>
    <w:uiPriority w:val="1"/>
    <w:qFormat/>
    <w:rsid w:val="00A85826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A8582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aliases w:val="Bullets Car,References Car,Sommaire Car,Paragraphe à Puce Car,RM1 Car,Paragraphe de liste PBLH Car,Table of contents numbered Car,Bullet Points Car,Liste Paragraf Car,Renkli Liste - Vurgu 11 Car,Liste Paragraf1 Car,Bullet OFM Car"/>
    <w:link w:val="Paragraphedeliste"/>
    <w:qFormat/>
    <w:locked/>
    <w:rsid w:val="00A85826"/>
    <w:rPr>
      <w:rFonts w:ascii="Calibri" w:eastAsia="Calibri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A8582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4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EF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ORTM</dc:creator>
  <cp:keywords/>
  <dc:description/>
  <cp:lastModifiedBy>ORTM</cp:lastModifiedBy>
  <cp:revision>14</cp:revision>
  <cp:lastPrinted>2025-10-15T09:38:00Z</cp:lastPrinted>
  <dcterms:created xsi:type="dcterms:W3CDTF">2025-10-09T08:46:00Z</dcterms:created>
  <dcterms:modified xsi:type="dcterms:W3CDTF">2025-10-16T15:02:00Z</dcterms:modified>
</cp:coreProperties>
</file>