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242"/>
        <w:tblW w:w="10170" w:type="dxa"/>
        <w:tblLook w:val="04A0"/>
      </w:tblPr>
      <w:tblGrid>
        <w:gridCol w:w="4584"/>
        <w:gridCol w:w="1827"/>
        <w:gridCol w:w="3759"/>
      </w:tblGrid>
      <w:tr w:rsidR="0053726D" w:rsidRPr="006542FB" w:rsidTr="006E4883">
        <w:trPr>
          <w:trHeight w:val="2230"/>
        </w:trPr>
        <w:tc>
          <w:tcPr>
            <w:tcW w:w="4584" w:type="dxa"/>
          </w:tcPr>
          <w:p w:rsidR="0053726D" w:rsidRDefault="0053726D" w:rsidP="0053726D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6542FB">
              <w:rPr>
                <w:rFonts w:eastAsia="Calibri" w:cs="Times New Roman"/>
                <w:b/>
                <w:lang w:eastAsia="en-US"/>
              </w:rPr>
              <w:t>MINISTERE DE L’AGRICULTURE</w:t>
            </w:r>
          </w:p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DE L’ELEVAGE ET DE LA PÊCHE</w:t>
            </w:r>
          </w:p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6542FB">
              <w:rPr>
                <w:rFonts w:eastAsia="Calibri" w:cs="Times New Roman"/>
                <w:b/>
                <w:lang w:eastAsia="en-US"/>
              </w:rPr>
              <w:t>………………</w:t>
            </w:r>
          </w:p>
          <w:p w:rsidR="0053726D" w:rsidRPr="006542FB" w:rsidRDefault="0053726D" w:rsidP="0053726D">
            <w:pPr>
              <w:pStyle w:val="StyleComplexe11ptGrasInterlignesimple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6542FB">
              <w:rPr>
                <w:rFonts w:ascii="Times New Roman" w:hAnsi="Times New Roman"/>
                <w:color w:val="2E74B5"/>
                <w:sz w:val="24"/>
                <w:szCs w:val="24"/>
              </w:rPr>
              <w:t>OFFICE DU NIGER</w:t>
            </w:r>
          </w:p>
          <w:p w:rsidR="0053726D" w:rsidRPr="006542FB" w:rsidRDefault="0053726D" w:rsidP="0053726D">
            <w:pPr>
              <w:pStyle w:val="Sansinterligne"/>
              <w:ind w:right="-10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3726D" w:rsidRPr="006542FB" w:rsidRDefault="0053726D" w:rsidP="0053726D">
            <w:pPr>
              <w:pStyle w:val="Sansinterligne"/>
              <w:ind w:right="-10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92710</wp:posOffset>
                  </wp:positionV>
                  <wp:extent cx="1180465" cy="655320"/>
                  <wp:effectExtent l="19050" t="0" r="635" b="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26D" w:rsidRPr="006542FB" w:rsidRDefault="0053726D" w:rsidP="0053726D">
            <w:pPr>
              <w:pStyle w:val="Sansinterligne"/>
              <w:ind w:right="-10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3726D" w:rsidRPr="006542FB" w:rsidRDefault="0053726D" w:rsidP="0053726D">
            <w:pPr>
              <w:pStyle w:val="Sansinterligne"/>
              <w:ind w:right="-10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3726D" w:rsidRPr="006542FB" w:rsidRDefault="0053726D" w:rsidP="0053726D">
            <w:pPr>
              <w:pStyle w:val="Sansinterligne"/>
              <w:ind w:right="-108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3726D" w:rsidRPr="006542FB" w:rsidRDefault="0053726D" w:rsidP="0053726D">
            <w:pPr>
              <w:pStyle w:val="Sansinterligne"/>
              <w:ind w:right="-108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3726D" w:rsidRPr="006542FB" w:rsidRDefault="0053726D" w:rsidP="0053726D">
            <w:pPr>
              <w:pStyle w:val="Sansinterligne"/>
              <w:ind w:right="-108"/>
              <w:rPr>
                <w:rFonts w:ascii="Times New Roman" w:hAnsi="Times New Roman"/>
                <w:b/>
                <w:color w:val="2E74B5"/>
                <w:sz w:val="24"/>
                <w:szCs w:val="24"/>
              </w:rPr>
            </w:pPr>
            <w:r w:rsidRPr="006542FB">
              <w:rPr>
                <w:rFonts w:ascii="Times New Roman" w:hAnsi="Times New Roman"/>
                <w:b/>
                <w:color w:val="2E74B5"/>
                <w:sz w:val="24"/>
                <w:szCs w:val="24"/>
              </w:rPr>
              <w:t>ZONE DE KOLONGO</w:t>
            </w:r>
          </w:p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Cs/>
                <w:i/>
              </w:rPr>
            </w:pPr>
          </w:p>
        </w:tc>
        <w:tc>
          <w:tcPr>
            <w:tcW w:w="1827" w:type="dxa"/>
          </w:tcPr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3759" w:type="dxa"/>
            <w:hideMark/>
          </w:tcPr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6542FB">
              <w:rPr>
                <w:rFonts w:eastAsia="Calibri" w:cs="Times New Roman"/>
                <w:b/>
                <w:lang w:eastAsia="en-US"/>
              </w:rPr>
              <w:t>République du Mali</w:t>
            </w:r>
          </w:p>
          <w:p w:rsidR="0053726D" w:rsidRPr="006542FB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 w:cs="Times New Roman"/>
                <w:b/>
                <w:lang w:eastAsia="en-US"/>
              </w:rPr>
            </w:pPr>
            <w:r w:rsidRPr="006542FB">
              <w:rPr>
                <w:rFonts w:eastAsia="Calibri" w:cs="Times New Roman"/>
                <w:b/>
                <w:lang w:eastAsia="en-US"/>
              </w:rPr>
              <w:t>Un Peuple - Un But - Une Foi</w:t>
            </w:r>
          </w:p>
        </w:tc>
      </w:tr>
    </w:tbl>
    <w:p w:rsidR="0053726D" w:rsidRPr="003A229F" w:rsidRDefault="0053726D" w:rsidP="0053726D">
      <w:pPr>
        <w:jc w:val="center"/>
        <w:rPr>
          <w:b/>
          <w:sz w:val="40"/>
          <w:szCs w:val="40"/>
        </w:rPr>
      </w:pPr>
      <w:r w:rsidRPr="003A229F">
        <w:rPr>
          <w:b/>
          <w:sz w:val="40"/>
          <w:szCs w:val="40"/>
        </w:rPr>
        <w:t>Avis d’Appel d’Offres Ouvert N°</w:t>
      </w:r>
      <w:r>
        <w:rPr>
          <w:b/>
          <w:sz w:val="40"/>
          <w:szCs w:val="40"/>
        </w:rPr>
        <w:t>2021-</w:t>
      </w:r>
      <w:r w:rsidRPr="003A229F">
        <w:rPr>
          <w:b/>
          <w:sz w:val="40"/>
          <w:szCs w:val="40"/>
        </w:rPr>
        <w:t>01/DZ</w:t>
      </w:r>
      <w:r>
        <w:rPr>
          <w:b/>
          <w:sz w:val="40"/>
          <w:szCs w:val="40"/>
        </w:rPr>
        <w:t>-ON</w:t>
      </w:r>
      <w:r w:rsidRPr="003A229F">
        <w:rPr>
          <w:b/>
          <w:sz w:val="40"/>
          <w:szCs w:val="40"/>
        </w:rPr>
        <w:t>-Klgo</w:t>
      </w:r>
      <w:r>
        <w:rPr>
          <w:b/>
          <w:sz w:val="40"/>
          <w:szCs w:val="40"/>
        </w:rPr>
        <w:tab/>
      </w:r>
    </w:p>
    <w:p w:rsidR="0053726D" w:rsidRDefault="0053726D" w:rsidP="0053726D">
      <w:pPr>
        <w:tabs>
          <w:tab w:val="left" w:pos="531"/>
        </w:tabs>
        <w:rPr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53726D" w:rsidRPr="009B7C2F" w:rsidRDefault="0053726D" w:rsidP="0053726D">
      <w:pPr>
        <w:numPr>
          <w:ilvl w:val="0"/>
          <w:numId w:val="1"/>
        </w:numPr>
        <w:tabs>
          <w:tab w:val="clear" w:pos="72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3A229F">
        <w:rPr>
          <w:iCs/>
        </w:rPr>
        <w:t>L</w:t>
      </w:r>
      <w:r>
        <w:rPr>
          <w:iCs/>
        </w:rPr>
        <w:t>’</w:t>
      </w:r>
      <w:r w:rsidRPr="003A229F">
        <w:rPr>
          <w:iCs/>
        </w:rPr>
        <w:t xml:space="preserve">Office du Niger (Zone de Kolongo) a obtenu des fonds de la redevance eau, afin de financer les travaux du Programme Annuel d’entretien de </w:t>
      </w:r>
      <w:r w:rsidRPr="0050170C">
        <w:rPr>
          <w:b/>
          <w:iCs/>
        </w:rPr>
        <w:t>l’Exercice 202</w:t>
      </w:r>
      <w:r>
        <w:rPr>
          <w:b/>
          <w:iCs/>
        </w:rPr>
        <w:t>1</w:t>
      </w:r>
      <w:r w:rsidRPr="003A229F">
        <w:rPr>
          <w:iCs/>
        </w:rPr>
        <w:t xml:space="preserve"> de ladite Zone, et </w:t>
      </w:r>
      <w:r>
        <w:rPr>
          <w:iCs/>
        </w:rPr>
        <w:t>a</w:t>
      </w:r>
      <w:r w:rsidRPr="003A229F">
        <w:rPr>
          <w:iCs/>
        </w:rPr>
        <w:t xml:space="preserve"> l’intention d’utiliser une partie de ces fonds pour effectuer des paiements au titre du Marché de</w:t>
      </w:r>
      <w:r>
        <w:rPr>
          <w:iCs/>
        </w:rPr>
        <w:t>s travaux de</w:t>
      </w:r>
      <w:r w:rsidRPr="003A229F">
        <w:rPr>
          <w:iCs/>
        </w:rPr>
        <w:t xml:space="preserve"> Terrassement de l’Entretien Périodique</w:t>
      </w:r>
      <w:r>
        <w:rPr>
          <w:iCs/>
        </w:rPr>
        <w:t>.</w:t>
      </w:r>
    </w:p>
    <w:p w:rsidR="0053726D" w:rsidRDefault="0053726D" w:rsidP="0053726D">
      <w:pPr>
        <w:numPr>
          <w:ilvl w:val="0"/>
          <w:numId w:val="1"/>
        </w:numPr>
        <w:tabs>
          <w:tab w:val="clear" w:pos="720"/>
        </w:tabs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3A229F">
        <w:rPr>
          <w:iCs/>
        </w:rPr>
        <w:t>L’Office du Niger, zone de Kolongo</w:t>
      </w:r>
      <w:r>
        <w:t xml:space="preserve"> sollicite des offres fermées de la part des candidats éligibles et répondant aux qualifications requises pour réaliser les travaux suivants : </w:t>
      </w:r>
    </w:p>
    <w:tbl>
      <w:tblPr>
        <w:tblW w:w="9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5846"/>
        <w:gridCol w:w="2672"/>
      </w:tblGrid>
      <w:tr w:rsidR="0053726D" w:rsidRPr="005946E4" w:rsidTr="006E4883">
        <w:trPr>
          <w:trHeight w:val="292"/>
        </w:trPr>
        <w:tc>
          <w:tcPr>
            <w:tcW w:w="795" w:type="dxa"/>
            <w:tcBorders>
              <w:bottom w:val="single" w:sz="4" w:space="0" w:color="000000"/>
            </w:tcBorders>
          </w:tcPr>
          <w:p w:rsidR="0053726D" w:rsidRPr="003D5981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Lot </w:t>
            </w:r>
          </w:p>
        </w:tc>
        <w:tc>
          <w:tcPr>
            <w:tcW w:w="5846" w:type="dxa"/>
          </w:tcPr>
          <w:p w:rsidR="0053726D" w:rsidRPr="000F7CD4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  <w:color w:val="000000"/>
              </w:rPr>
            </w:pPr>
            <w:r w:rsidRPr="000F7CD4">
              <w:rPr>
                <w:rFonts w:cs="Times New Roman"/>
                <w:b/>
                <w:color w:val="000000"/>
                <w:sz w:val="22"/>
                <w:szCs w:val="22"/>
              </w:rPr>
              <w:t xml:space="preserve">Désignation </w:t>
            </w:r>
          </w:p>
        </w:tc>
        <w:tc>
          <w:tcPr>
            <w:tcW w:w="2672" w:type="dxa"/>
          </w:tcPr>
          <w:p w:rsidR="0053726D" w:rsidRPr="000F7CD4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</w:rPr>
            </w:pPr>
            <w:r w:rsidRPr="000F7CD4">
              <w:rPr>
                <w:rFonts w:cs="Times New Roman"/>
                <w:b/>
                <w:color w:val="000000"/>
                <w:sz w:val="22"/>
                <w:szCs w:val="22"/>
              </w:rPr>
              <w:t>Localisation</w:t>
            </w:r>
          </w:p>
        </w:tc>
      </w:tr>
      <w:tr w:rsidR="0053726D" w:rsidRPr="005946E4" w:rsidTr="006E4883">
        <w:trPr>
          <w:trHeight w:val="362"/>
        </w:trPr>
        <w:tc>
          <w:tcPr>
            <w:tcW w:w="795" w:type="dxa"/>
            <w:tcBorders>
              <w:bottom w:val="nil"/>
            </w:tcBorders>
            <w:vAlign w:val="center"/>
          </w:tcPr>
          <w:p w:rsidR="0053726D" w:rsidRPr="00100D81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</w:rPr>
            </w:pPr>
          </w:p>
          <w:p w:rsidR="0053726D" w:rsidRPr="007860D2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</w:rPr>
            </w:pPr>
            <w:r w:rsidRPr="006E4883">
              <w:rPr>
                <w:rFonts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6" w:type="dxa"/>
            <w:vAlign w:val="center"/>
          </w:tcPr>
          <w:p w:rsidR="0053726D" w:rsidRPr="007860D2" w:rsidDel="000A38A6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 xml:space="preserve">Drain principal BW RG : </w:t>
            </w:r>
          </w:p>
          <w:p w:rsidR="0053726D" w:rsidRPr="006E4883" w:rsidRDefault="0053726D" w:rsidP="0053726D">
            <w:pPr>
              <w:jc w:val="left"/>
              <w:rPr>
                <w:rFonts w:cs="Times New Roman"/>
                <w:color w:val="000000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F/P Latérite compactée cavaliers</w:t>
            </w:r>
          </w:p>
        </w:tc>
        <w:tc>
          <w:tcPr>
            <w:tcW w:w="2672" w:type="dxa"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PK5- PK8+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53726D" w:rsidRPr="005946E4" w:rsidTr="006E4883">
        <w:trPr>
          <w:trHeight w:val="268"/>
        </w:trPr>
        <w:tc>
          <w:tcPr>
            <w:tcW w:w="795" w:type="dxa"/>
            <w:vMerge w:val="restart"/>
            <w:tcBorders>
              <w:top w:val="nil"/>
            </w:tcBorders>
            <w:vAlign w:val="center"/>
          </w:tcPr>
          <w:p w:rsidR="0053726D" w:rsidRPr="007860D2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Piste reliant Drain BW3 au Part BW5 : Rechargement en banco provenant emprunt</w:t>
            </w:r>
          </w:p>
        </w:tc>
        <w:tc>
          <w:tcPr>
            <w:tcW w:w="2672" w:type="dxa"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PK0-PK1+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53726D" w:rsidRPr="005946E4" w:rsidTr="006E4883">
        <w:trPr>
          <w:trHeight w:val="273"/>
        </w:trPr>
        <w:tc>
          <w:tcPr>
            <w:tcW w:w="795" w:type="dxa"/>
            <w:vMerge/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Piste reliant Drain BW3 au Part BW5 : F/P Latérite compactée cavaliers</w:t>
            </w:r>
          </w:p>
        </w:tc>
        <w:tc>
          <w:tcPr>
            <w:tcW w:w="2672" w:type="dxa"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PK0-PK1+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53726D" w:rsidRPr="005946E4" w:rsidTr="006E4883">
        <w:trPr>
          <w:trHeight w:val="266"/>
        </w:trPr>
        <w:tc>
          <w:tcPr>
            <w:tcW w:w="795" w:type="dxa"/>
            <w:vMerge/>
            <w:tcBorders>
              <w:bottom w:val="double" w:sz="4" w:space="0" w:color="auto"/>
            </w:tcBorders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bottom w:val="double" w:sz="4" w:space="0" w:color="auto"/>
            </w:tcBorders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Part BW5 : Rechargement ponctuel en Latérite</w:t>
            </w:r>
          </w:p>
        </w:tc>
        <w:tc>
          <w:tcPr>
            <w:tcW w:w="2672" w:type="dxa"/>
            <w:tcBorders>
              <w:bottom w:val="double" w:sz="4" w:space="0" w:color="auto"/>
            </w:tcBorders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Sur 1 500m</w:t>
            </w:r>
          </w:p>
        </w:tc>
      </w:tr>
      <w:tr w:rsidR="0053726D" w:rsidRPr="005946E4" w:rsidTr="006E4883">
        <w:trPr>
          <w:trHeight w:val="372"/>
        </w:trPr>
        <w:tc>
          <w:tcPr>
            <w:tcW w:w="795" w:type="dxa"/>
            <w:vMerge w:val="restart"/>
            <w:tcBorders>
              <w:top w:val="double" w:sz="4" w:space="0" w:color="auto"/>
              <w:left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color w:val="000000"/>
              </w:rPr>
            </w:pPr>
          </w:p>
          <w:p w:rsidR="0053726D" w:rsidRPr="00100D81" w:rsidRDefault="0053726D" w:rsidP="0053726D">
            <w:pPr>
              <w:jc w:val="center"/>
              <w:rPr>
                <w:rFonts w:cs="Times New Roman"/>
                <w:color w:val="000000"/>
              </w:rPr>
            </w:pPr>
            <w:r w:rsidRPr="00100D81">
              <w:rPr>
                <w:rFonts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6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Digue de ceinture (Rechargement) : Déblai/Remblai Compacté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PK0-PK2</w:t>
            </w: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53726D" w:rsidRPr="005946E4" w:rsidTr="006E4883">
        <w:trPr>
          <w:trHeight w:val="372"/>
        </w:trPr>
        <w:tc>
          <w:tcPr>
            <w:tcW w:w="795" w:type="dxa"/>
            <w:vMerge/>
            <w:tcBorders>
              <w:left w:val="single" w:sz="4" w:space="0" w:color="000000"/>
            </w:tcBorders>
            <w:noWrap/>
            <w:vAlign w:val="center"/>
            <w:hideMark/>
          </w:tcPr>
          <w:p w:rsidR="0053726D" w:rsidRPr="006E4883" w:rsidRDefault="0053726D" w:rsidP="0053726D">
            <w:pPr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iste d'accès de Siguinogué : F/P Latérite compactée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PK0-PK1+000</w:t>
            </w:r>
          </w:p>
        </w:tc>
      </w:tr>
      <w:tr w:rsidR="0053726D" w:rsidRPr="005946E4" w:rsidTr="006E4883">
        <w:trPr>
          <w:trHeight w:val="372"/>
        </w:trPr>
        <w:tc>
          <w:tcPr>
            <w:tcW w:w="795" w:type="dxa"/>
            <w:vMerge/>
            <w:tcBorders>
              <w:left w:val="single" w:sz="4" w:space="0" w:color="000000"/>
            </w:tcBorders>
            <w:noWrap/>
            <w:vAlign w:val="center"/>
            <w:hideMark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  <w:color w:val="00000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 xml:space="preserve">Dain K6 : Curage simple et régalage </w:t>
            </w:r>
          </w:p>
        </w:tc>
        <w:tc>
          <w:tcPr>
            <w:tcW w:w="267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PK0 -PK2+000</w:t>
            </w:r>
          </w:p>
        </w:tc>
      </w:tr>
      <w:tr w:rsidR="0053726D" w:rsidRPr="005946E4" w:rsidTr="006E4883">
        <w:trPr>
          <w:trHeight w:val="336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53726D" w:rsidRPr="006E4883" w:rsidRDefault="0053726D" w:rsidP="0053726D">
            <w:pPr>
              <w:jc w:val="left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bottom w:val="double" w:sz="4" w:space="0" w:color="auto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 xml:space="preserve">Dain K5 : Curage simple et régalage </w:t>
            </w:r>
          </w:p>
        </w:tc>
        <w:tc>
          <w:tcPr>
            <w:tcW w:w="2672" w:type="dxa"/>
            <w:tcBorders>
              <w:top w:val="single" w:sz="4" w:space="0" w:color="000000"/>
              <w:bottom w:val="double" w:sz="4" w:space="0" w:color="auto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PK0 -PK1+500</w:t>
            </w:r>
          </w:p>
        </w:tc>
      </w:tr>
      <w:tr w:rsidR="0053726D" w:rsidRPr="005946E4" w:rsidTr="006E4883">
        <w:trPr>
          <w:trHeight w:val="27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FF0000"/>
              </w:rPr>
            </w:pPr>
            <w:r w:rsidRPr="007860D2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Drain principal BW : Déblai/Remblai Compacté</w:t>
            </w:r>
          </w:p>
        </w:tc>
        <w:tc>
          <w:tcPr>
            <w:tcW w:w="26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PK8 -PK10</w:t>
            </w:r>
            <w:r>
              <w:rPr>
                <w:rFonts w:cs="Times New Roman"/>
                <w:color w:val="000000"/>
                <w:sz w:val="22"/>
                <w:szCs w:val="22"/>
              </w:rPr>
              <w:t>+000</w:t>
            </w:r>
          </w:p>
        </w:tc>
      </w:tr>
      <w:tr w:rsidR="0053726D" w:rsidRPr="005946E4" w:rsidTr="006E4883">
        <w:trPr>
          <w:trHeight w:val="270"/>
        </w:trPr>
        <w:tc>
          <w:tcPr>
            <w:tcW w:w="795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Drain d'assainissement de Kolongo : Curage simple et régalage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PK0 -PK1+000</w:t>
            </w:r>
          </w:p>
        </w:tc>
      </w:tr>
      <w:tr w:rsidR="0053726D" w:rsidRPr="005946E4" w:rsidTr="006E4883">
        <w:trPr>
          <w:trHeight w:val="274"/>
        </w:trPr>
        <w:tc>
          <w:tcPr>
            <w:tcW w:w="79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Distributeur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 xml:space="preserve">Boky-Were : Rechargement ponctuel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en 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banco</w:t>
            </w:r>
          </w:p>
        </w:tc>
        <w:tc>
          <w:tcPr>
            <w:tcW w:w="2672" w:type="dxa"/>
            <w:tcBorders>
              <w:top w:val="single" w:sz="4" w:space="0" w:color="000000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Sur 1 000m</w:t>
            </w:r>
          </w:p>
        </w:tc>
      </w:tr>
      <w:tr w:rsidR="0053726D" w:rsidRPr="005946E4" w:rsidTr="006E4883">
        <w:trPr>
          <w:trHeight w:val="569"/>
        </w:trPr>
        <w:tc>
          <w:tcPr>
            <w:tcW w:w="795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53726D" w:rsidRPr="00171361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color w:val="000000"/>
              </w:rPr>
            </w:pPr>
            <w:r w:rsidRPr="00171361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Drain Mioouela Prolongement : Creusement</w:t>
            </w:r>
          </w:p>
        </w:tc>
        <w:tc>
          <w:tcPr>
            <w:tcW w:w="2672" w:type="dxa"/>
            <w:tcBorders>
              <w:top w:val="double" w:sz="4" w:space="0" w:color="auto"/>
            </w:tcBorders>
            <w:noWrap/>
            <w:vAlign w:val="center"/>
            <w:hideMark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sur 3 500 m</w:t>
            </w:r>
          </w:p>
        </w:tc>
      </w:tr>
      <w:tr w:rsidR="0053726D" w:rsidRPr="005946E4" w:rsidTr="006E4883">
        <w:trPr>
          <w:trHeight w:val="412"/>
        </w:trPr>
        <w:tc>
          <w:tcPr>
            <w:tcW w:w="795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:rsidR="0053726D" w:rsidRPr="00100D81" w:rsidRDefault="0053726D" w:rsidP="0053726D">
            <w:pPr>
              <w:jc w:val="center"/>
              <w:rPr>
                <w:rFonts w:cs="Times New Roman"/>
                <w:color w:val="000000"/>
              </w:rPr>
            </w:pPr>
          </w:p>
          <w:p w:rsidR="0053726D" w:rsidRPr="00100D81" w:rsidRDefault="0053726D" w:rsidP="0053726D">
            <w:pPr>
              <w:jc w:val="center"/>
              <w:rPr>
                <w:rFonts w:cs="Times New Roman"/>
                <w:b/>
                <w:color w:val="000000"/>
              </w:rPr>
            </w:pPr>
            <w:r w:rsidRPr="00100D81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 xml:space="preserve">Drain </w:t>
            </w:r>
            <w:r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/>
                <w:color w:val="000000"/>
                <w:sz w:val="22"/>
                <w:szCs w:val="22"/>
              </w:rPr>
              <w:t>o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-ouela : Curage simple et régalage</w:t>
            </w:r>
          </w:p>
        </w:tc>
        <w:tc>
          <w:tcPr>
            <w:tcW w:w="2672" w:type="dxa"/>
            <w:tcBorders>
              <w:top w:val="doub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PK8 -PK10</w:t>
            </w:r>
            <w:r>
              <w:rPr>
                <w:rFonts w:cs="Times New Roman"/>
                <w:color w:val="000000"/>
                <w:sz w:val="22"/>
                <w:szCs w:val="22"/>
              </w:rPr>
              <w:t>+000</w:t>
            </w:r>
          </w:p>
        </w:tc>
      </w:tr>
      <w:tr w:rsidR="0053726D" w:rsidRPr="005946E4" w:rsidTr="006E4883">
        <w:trPr>
          <w:trHeight w:val="276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Drain NO2 : Curage simple et régalage</w:t>
            </w:r>
          </w:p>
        </w:tc>
        <w:tc>
          <w:tcPr>
            <w:tcW w:w="2672" w:type="dxa"/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PK0 -PK1+500</w:t>
            </w:r>
          </w:p>
        </w:tc>
      </w:tr>
      <w:tr w:rsidR="0053726D" w:rsidRPr="005946E4" w:rsidTr="006E4883">
        <w:trPr>
          <w:trHeight w:val="255"/>
        </w:trPr>
        <w:tc>
          <w:tcPr>
            <w:tcW w:w="79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left w:val="sing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S/Drain NO1 : Curage simple et régalage</w:t>
            </w:r>
          </w:p>
        </w:tc>
        <w:tc>
          <w:tcPr>
            <w:tcW w:w="2672" w:type="dxa"/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PK0 -PK1+000</w:t>
            </w:r>
          </w:p>
        </w:tc>
      </w:tr>
      <w:tr w:rsidR="0053726D" w:rsidRPr="005946E4" w:rsidTr="006E4883">
        <w:trPr>
          <w:trHeight w:val="545"/>
        </w:trPr>
        <w:tc>
          <w:tcPr>
            <w:tcW w:w="795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3726D" w:rsidRPr="006E4883" w:rsidRDefault="0053726D" w:rsidP="0053726D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FF0000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Drain principal Sossé : Curage simple et régalage</w:t>
            </w:r>
          </w:p>
        </w:tc>
        <w:tc>
          <w:tcPr>
            <w:tcW w:w="2672" w:type="dxa"/>
            <w:tcBorders>
              <w:bottom w:val="doub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 w:rsidRPr="006E4883">
              <w:rPr>
                <w:rFonts w:cs="Times New Roman"/>
                <w:color w:val="000000"/>
                <w:sz w:val="22"/>
                <w:szCs w:val="22"/>
              </w:rPr>
              <w:t>PK0 -PK7+500</w:t>
            </w:r>
          </w:p>
        </w:tc>
      </w:tr>
      <w:tr w:rsidR="0053726D" w:rsidRPr="005946E4" w:rsidTr="006E4883">
        <w:trPr>
          <w:trHeight w:val="545"/>
        </w:trPr>
        <w:tc>
          <w:tcPr>
            <w:tcW w:w="795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3726D" w:rsidRPr="007860D2" w:rsidRDefault="0053726D" w:rsidP="0053726D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</w:rPr>
            </w:pPr>
            <w:r w:rsidRPr="006E4883">
              <w:rPr>
                <w:rFonts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84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noWrap/>
            <w:vAlign w:val="center"/>
          </w:tcPr>
          <w:p w:rsidR="0053726D" w:rsidRPr="007860D2" w:rsidRDefault="0053726D" w:rsidP="0053726D">
            <w:pPr>
              <w:jc w:val="left"/>
              <w:rPr>
                <w:rFonts w:cs="Times New Roman"/>
              </w:rPr>
            </w:pPr>
            <w:r w:rsidRPr="006E4883">
              <w:rPr>
                <w:rFonts w:cs="Times New Roman"/>
                <w:sz w:val="22"/>
                <w:szCs w:val="22"/>
              </w:rPr>
              <w:t>Distributeur de Boky-Wèré, Nettoyage Mécanique</w:t>
            </w:r>
          </w:p>
        </w:tc>
        <w:tc>
          <w:tcPr>
            <w:tcW w:w="2672" w:type="dxa"/>
            <w:tcBorders>
              <w:top w:val="double" w:sz="4" w:space="0" w:color="auto"/>
              <w:bottom w:val="single" w:sz="4" w:space="0" w:color="000000"/>
            </w:tcBorders>
            <w:noWrap/>
            <w:vAlign w:val="center"/>
          </w:tcPr>
          <w:p w:rsidR="0053726D" w:rsidRPr="007860D2" w:rsidRDefault="0053726D" w:rsidP="005372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PK 0</w:t>
            </w:r>
            <w:r w:rsidRPr="006E4883">
              <w:rPr>
                <w:rFonts w:cs="Times New Roman"/>
                <w:color w:val="000000"/>
                <w:sz w:val="22"/>
                <w:szCs w:val="22"/>
              </w:rPr>
              <w:t>- PK 10+000</w:t>
            </w:r>
          </w:p>
        </w:tc>
      </w:tr>
    </w:tbl>
    <w:p w:rsidR="0053726D" w:rsidRPr="006542FB" w:rsidRDefault="0053726D" w:rsidP="0053726D">
      <w:pPr>
        <w:tabs>
          <w:tab w:val="right" w:pos="7272"/>
        </w:tabs>
        <w:contextualSpacing/>
        <w:rPr>
          <w:i/>
          <w:iCs/>
          <w:sz w:val="16"/>
          <w:szCs w:val="16"/>
        </w:rPr>
      </w:pPr>
    </w:p>
    <w:p w:rsidR="0053726D" w:rsidRPr="00646DFF" w:rsidRDefault="0053726D" w:rsidP="0053726D">
      <w:pPr>
        <w:pStyle w:val="Paragraphedeliste"/>
        <w:ind w:left="0"/>
        <w:rPr>
          <w:b/>
          <w:i/>
          <w:color w:val="FF0000"/>
        </w:rPr>
      </w:pPr>
      <w:r>
        <w:rPr>
          <w:b/>
          <w:sz w:val="22"/>
          <w:szCs w:val="22"/>
        </w:rPr>
        <w:t xml:space="preserve">Compte tenu de l’urgence et de la </w:t>
      </w:r>
      <w:r w:rsidRPr="0090791C">
        <w:rPr>
          <w:b/>
          <w:bCs/>
          <w:iCs/>
          <w:sz w:val="22"/>
          <w:szCs w:val="22"/>
        </w:rPr>
        <w:t>spécificité</w:t>
      </w:r>
      <w:r>
        <w:rPr>
          <w:b/>
          <w:sz w:val="22"/>
          <w:szCs w:val="22"/>
        </w:rPr>
        <w:t>des travaux, un soumissionnaire peut soumissionner pour l’ensemble des lots mais ne peut bénéficier que d’un seul lot.</w:t>
      </w:r>
    </w:p>
    <w:p w:rsidR="0053726D" w:rsidRPr="000F6103" w:rsidRDefault="0053726D" w:rsidP="0053726D">
      <w:pPr>
        <w:pStyle w:val="Paragraphedeliste"/>
        <w:ind w:left="720"/>
        <w:contextualSpacing/>
        <w:jc w:val="left"/>
        <w:rPr>
          <w:b/>
          <w:i/>
          <w:color w:val="FF0000"/>
        </w:rPr>
      </w:pP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candidats intéressés peuvent obtenir des informations auprès de </w:t>
      </w:r>
      <w:r w:rsidRPr="00BF67B4">
        <w:rPr>
          <w:iCs/>
        </w:rPr>
        <w:t>la Direction de Zone de Kolongo</w:t>
      </w:r>
      <w:r>
        <w:t xml:space="preserve">et prendre connaissance du document d’Appel d’offres à l’adresse mentionnée ci-après : </w:t>
      </w:r>
      <w:r w:rsidRPr="00BF67B4">
        <w:rPr>
          <w:b/>
          <w:iCs/>
        </w:rPr>
        <w:t>Secrétariat Zone de Kolongo</w:t>
      </w:r>
      <w:r w:rsidRPr="00BF67B4">
        <w:rPr>
          <w:iCs/>
        </w:rPr>
        <w:t>, Tél / Fax 21 73 52 39</w:t>
      </w:r>
      <w:r w:rsidRPr="00A900CD">
        <w:rPr>
          <w:b/>
          <w:bCs/>
          <w:iCs/>
        </w:rPr>
        <w:t xml:space="preserve">du Lundi au Jeudi </w:t>
      </w:r>
      <w:r w:rsidRPr="00BF67B4">
        <w:t xml:space="preserve">de </w:t>
      </w:r>
      <w:r w:rsidRPr="00A900CD">
        <w:rPr>
          <w:b/>
          <w:bCs/>
          <w:iCs/>
        </w:rPr>
        <w:t>9 heure 00 m</w:t>
      </w:r>
      <w:r>
        <w:rPr>
          <w:b/>
          <w:bCs/>
          <w:iCs/>
        </w:rPr>
        <w:t>n</w:t>
      </w:r>
      <w:r w:rsidRPr="00A900CD">
        <w:rPr>
          <w:b/>
          <w:bCs/>
          <w:iCs/>
        </w:rPr>
        <w:t xml:space="preserve"> à 16 heure 30 m</w:t>
      </w:r>
      <w:r>
        <w:rPr>
          <w:b/>
          <w:bCs/>
          <w:iCs/>
        </w:rPr>
        <w:t>n</w:t>
      </w:r>
      <w:r w:rsidRPr="00A900CD">
        <w:rPr>
          <w:b/>
          <w:bCs/>
          <w:iCs/>
        </w:rPr>
        <w:t xml:space="preserve"> etle vendredi</w:t>
      </w:r>
      <w:r>
        <w:rPr>
          <w:b/>
          <w:bCs/>
          <w:iCs/>
        </w:rPr>
        <w:t xml:space="preserve"> de</w:t>
      </w:r>
      <w:r w:rsidRPr="00A900CD">
        <w:rPr>
          <w:b/>
          <w:bCs/>
          <w:iCs/>
        </w:rPr>
        <w:t xml:space="preserve"> 9 heure 00 mm à 12 heure 30 m</w:t>
      </w:r>
      <w:r>
        <w:rPr>
          <w:b/>
          <w:bCs/>
          <w:iCs/>
        </w:rPr>
        <w:t>n</w:t>
      </w:r>
      <w:r>
        <w:t>.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pour chacun des lots, </w:t>
      </w:r>
      <w:r w:rsidRPr="00230D9F">
        <w:rPr>
          <w:b/>
          <w:i/>
        </w:rPr>
        <w:t>le montant de la ligne de crédit et du chiffre d’Affaire annuel moyen, le nombre de marché similaire, la liste du matériel et personnel nécessaires à l’</w:t>
      </w:r>
      <w:r w:rsidRPr="001277CD">
        <w:rPr>
          <w:b/>
          <w:i/>
        </w:rPr>
        <w:t>exéc</w:t>
      </w:r>
      <w:r w:rsidRPr="00587C56">
        <w:rPr>
          <w:b/>
          <w:i/>
        </w:rPr>
        <w:t>ution</w:t>
      </w:r>
      <w:r w:rsidRPr="00230D9F">
        <w:rPr>
          <w:b/>
          <w:i/>
        </w:rPr>
        <w:t xml:space="preserve"> efficace des travaux.</w:t>
      </w:r>
      <w:r>
        <w:t xml:space="preserve">Voir le DPAO pour les informations détaillées. 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consulter gratuitement le dossier d’Appel d’offres complet ou le retirer contre paiement</w:t>
      </w:r>
      <w:r>
        <w:rPr>
          <w:rStyle w:val="Appelnotedebasdep"/>
        </w:rPr>
        <w:footnoteReference w:id="2"/>
      </w:r>
      <w:r>
        <w:t xml:space="preserve"> d’une somme non remboursable de C</w:t>
      </w:r>
      <w:r w:rsidRPr="006512C3">
        <w:rPr>
          <w:b/>
          <w:i/>
          <w:iCs/>
        </w:rPr>
        <w:t>ent</w:t>
      </w:r>
      <w:r>
        <w:rPr>
          <w:b/>
          <w:i/>
          <w:iCs/>
        </w:rPr>
        <w:t xml:space="preserve"> Cinquante Mille (15</w:t>
      </w:r>
      <w:r w:rsidRPr="006512C3">
        <w:rPr>
          <w:b/>
          <w:i/>
          <w:iCs/>
        </w:rPr>
        <w:t>0</w:t>
      </w:r>
      <w:r>
        <w:rPr>
          <w:b/>
          <w:i/>
          <w:iCs/>
        </w:rPr>
        <w:t> </w:t>
      </w:r>
      <w:r w:rsidRPr="006512C3">
        <w:rPr>
          <w:b/>
          <w:i/>
          <w:iCs/>
        </w:rPr>
        <w:t>000) francs CFA</w:t>
      </w:r>
      <w:r>
        <w:rPr>
          <w:b/>
          <w:i/>
          <w:iCs/>
        </w:rPr>
        <w:t xml:space="preserve"> et soumissionner </w:t>
      </w:r>
      <w:r>
        <w:t xml:space="preserve">à l’adresse mentionnée ci-après : </w:t>
      </w:r>
      <w:r>
        <w:rPr>
          <w:b/>
          <w:iCs/>
        </w:rPr>
        <w:t xml:space="preserve">Direction </w:t>
      </w:r>
      <w:r w:rsidRPr="00BF67B4">
        <w:rPr>
          <w:b/>
          <w:iCs/>
        </w:rPr>
        <w:t>de la Zone de Kolongo</w:t>
      </w:r>
      <w:r>
        <w:rPr>
          <w:i/>
          <w:iCs/>
        </w:rPr>
        <w:t xml:space="preserve">. </w:t>
      </w:r>
      <w:r>
        <w:t xml:space="preserve">La méthode de paiement sera </w:t>
      </w:r>
      <w:r w:rsidRPr="00BF67B4">
        <w:rPr>
          <w:iCs/>
        </w:rPr>
        <w:t>en espèce</w:t>
      </w:r>
      <w:r>
        <w:rPr>
          <w:i/>
          <w:iCs/>
        </w:rPr>
        <w:t>.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devront être soumises à l’adresse ci-après : la </w:t>
      </w:r>
      <w:r>
        <w:rPr>
          <w:b/>
          <w:iCs/>
        </w:rPr>
        <w:t xml:space="preserve">Direction </w:t>
      </w:r>
      <w:r w:rsidRPr="00BF67B4">
        <w:rPr>
          <w:b/>
          <w:iCs/>
        </w:rPr>
        <w:t>de Zone de Kolongo</w:t>
      </w:r>
      <w:r>
        <w:rPr>
          <w:i/>
          <w:iCs/>
        </w:rPr>
        <w:t xml:space="preserve"> « </w:t>
      </w:r>
      <w:r w:rsidRPr="006542FB">
        <w:rPr>
          <w:b/>
          <w:i/>
        </w:rPr>
        <w:t>A n'ouvrir qu'en séance publique</w:t>
      </w:r>
      <w:r>
        <w:rPr>
          <w:b/>
          <w:i/>
        </w:rPr>
        <w:t> »</w:t>
      </w:r>
      <w:r w:rsidRPr="006542FB">
        <w:rPr>
          <w:b/>
          <w:i/>
          <w:iCs/>
        </w:rPr>
        <w:t xml:space="preserve"> Appel d'Offres n°</w:t>
      </w:r>
      <w:r>
        <w:rPr>
          <w:b/>
          <w:i/>
          <w:iCs/>
        </w:rPr>
        <w:t>2021-</w:t>
      </w:r>
      <w:r w:rsidRPr="006542FB">
        <w:rPr>
          <w:b/>
          <w:i/>
          <w:iCs/>
        </w:rPr>
        <w:t>01/DZ-</w:t>
      </w:r>
      <w:r>
        <w:rPr>
          <w:b/>
          <w:i/>
          <w:iCs/>
        </w:rPr>
        <w:t>ON-</w:t>
      </w:r>
      <w:r w:rsidRPr="006542FB">
        <w:rPr>
          <w:b/>
          <w:i/>
          <w:iCs/>
        </w:rPr>
        <w:t>Klgorelatif aux travaux d'entretien périodique de la Zone de Kolongo, exercice20</w:t>
      </w:r>
      <w:r>
        <w:rPr>
          <w:b/>
          <w:i/>
          <w:iCs/>
        </w:rPr>
        <w:t>21</w:t>
      </w:r>
      <w:r w:rsidRPr="006542FB">
        <w:rPr>
          <w:b/>
          <w:i/>
          <w:iCs/>
        </w:rPr>
        <w:t> »</w:t>
      </w:r>
      <w:r>
        <w:t xml:space="preserve">au plus tard </w:t>
      </w:r>
      <w:r w:rsidRPr="00375F19">
        <w:rPr>
          <w:b/>
        </w:rPr>
        <w:t>le</w:t>
      </w:r>
      <w:r>
        <w:rPr>
          <w:b/>
        </w:rPr>
        <w:t xml:space="preserve"> Mercredi 24Février</w:t>
      </w:r>
      <w:r w:rsidRPr="004A4F5F">
        <w:rPr>
          <w:b/>
        </w:rPr>
        <w:t>20</w:t>
      </w:r>
      <w:r w:rsidRPr="00230BE3">
        <w:rPr>
          <w:b/>
        </w:rPr>
        <w:t>2</w:t>
      </w:r>
      <w:r>
        <w:rPr>
          <w:b/>
        </w:rPr>
        <w:t>1</w:t>
      </w:r>
      <w:r w:rsidRPr="004A4F5F">
        <w:rPr>
          <w:b/>
        </w:rPr>
        <w:t xml:space="preserve"> à 10 heure 00</w:t>
      </w:r>
      <w:r>
        <w:rPr>
          <w:b/>
        </w:rPr>
        <w:t xml:space="preserve"> mn</w:t>
      </w:r>
      <w:r w:rsidRPr="00375F19">
        <w:rPr>
          <w:b/>
        </w:rPr>
        <w:t>.</w:t>
      </w:r>
      <w:r>
        <w:t xml:space="preserve">  Les offres qui ne parviendront pas aux heures et date ci-dessus, indiquées, seront purement et simplement rejetées et retournées sans être ouvertes.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 xml:space="preserve">une garantie </w:t>
      </w:r>
      <w:r w:rsidRPr="002B0E4C">
        <w:rPr>
          <w:b/>
          <w:i/>
          <w:iCs/>
        </w:rPr>
        <w:t>bancaire</w:t>
      </w:r>
      <w:r>
        <w:rPr>
          <w:iCs/>
        </w:rPr>
        <w:t xml:space="preserve"> de soumission</w:t>
      </w:r>
      <w:r>
        <w:t xml:space="preserve">, d’un montant de : </w:t>
      </w:r>
    </w:p>
    <w:p w:rsidR="0053726D" w:rsidRPr="00B0401A" w:rsidRDefault="0053726D" w:rsidP="0053726D">
      <w:pPr>
        <w:suppressAutoHyphens w:val="0"/>
        <w:overflowPunct/>
        <w:autoSpaceDE/>
        <w:adjustRightInd/>
        <w:spacing w:after="200"/>
        <w:textAlignment w:val="auto"/>
      </w:pPr>
      <w:bookmarkStart w:id="0" w:name="_GoBack"/>
      <w:bookmarkEnd w:id="0"/>
      <w:r>
        <w:t xml:space="preserve">-   </w:t>
      </w:r>
      <w:r w:rsidRPr="002E6262">
        <w:rPr>
          <w:b/>
        </w:rPr>
        <w:t>lot</w:t>
      </w:r>
      <w:r>
        <w:rPr>
          <w:b/>
        </w:rPr>
        <w:t xml:space="preserve"> n°</w:t>
      </w:r>
      <w:r w:rsidRPr="002E6262">
        <w:rPr>
          <w:b/>
        </w:rPr>
        <w:t>1</w:t>
      </w:r>
      <w:r>
        <w:rPr>
          <w:b/>
        </w:rPr>
        <w:t xml:space="preserve"> : </w:t>
      </w:r>
      <w:r>
        <w:t>Un Million Quatre Cent CinquanteM</w:t>
      </w:r>
      <w:r w:rsidRPr="00B0401A">
        <w:t xml:space="preserve">ille </w:t>
      </w:r>
      <w:r w:rsidRPr="00587C56">
        <w:rPr>
          <w:b/>
        </w:rPr>
        <w:t>(</w:t>
      </w:r>
      <w:r>
        <w:rPr>
          <w:b/>
        </w:rPr>
        <w:t>1 450 000</w:t>
      </w:r>
      <w:r w:rsidRPr="003F434D">
        <w:rPr>
          <w:b/>
        </w:rPr>
        <w:t>)</w:t>
      </w:r>
      <w:r w:rsidRPr="00E774C1">
        <w:rPr>
          <w:b/>
        </w:rPr>
        <w:t xml:space="preserve"> F CFA</w:t>
      </w:r>
      <w:r>
        <w:rPr>
          <w:b/>
        </w:rPr>
        <w:t> ;</w:t>
      </w:r>
    </w:p>
    <w:p w:rsidR="0053726D" w:rsidRPr="00B0401A" w:rsidRDefault="0053726D" w:rsidP="0053726D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2E6262">
        <w:rPr>
          <w:b/>
        </w:rPr>
        <w:t>lot</w:t>
      </w:r>
      <w:r>
        <w:rPr>
          <w:b/>
        </w:rPr>
        <w:t xml:space="preserve"> n°2 :</w:t>
      </w:r>
      <w:r>
        <w:t xml:space="preserve"> Sept Cent quaranteM</w:t>
      </w:r>
      <w:r w:rsidRPr="005A7440">
        <w:t>ille</w:t>
      </w:r>
      <w:r>
        <w:rPr>
          <w:b/>
        </w:rPr>
        <w:t xml:space="preserve"> (740 00</w:t>
      </w:r>
      <w:r w:rsidRPr="00E42DDF">
        <w:rPr>
          <w:b/>
        </w:rPr>
        <w:t>0</w:t>
      </w:r>
      <w:r>
        <w:rPr>
          <w:b/>
        </w:rPr>
        <w:t>)</w:t>
      </w:r>
      <w:r w:rsidRPr="002E6262">
        <w:rPr>
          <w:b/>
        </w:rPr>
        <w:t xml:space="preserve"> F CFA</w:t>
      </w:r>
      <w:r>
        <w:rPr>
          <w:b/>
        </w:rPr>
        <w:t> ;</w:t>
      </w:r>
    </w:p>
    <w:p w:rsidR="0053726D" w:rsidRPr="00B0401A" w:rsidRDefault="0053726D" w:rsidP="0053726D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2E6262">
        <w:rPr>
          <w:b/>
        </w:rPr>
        <w:t>lot</w:t>
      </w:r>
      <w:r>
        <w:rPr>
          <w:b/>
        </w:rPr>
        <w:t xml:space="preserve"> n°3 : </w:t>
      </w:r>
      <w:r>
        <w:t>QuatreC</w:t>
      </w:r>
      <w:r w:rsidRPr="005A7440">
        <w:t xml:space="preserve">ent </w:t>
      </w:r>
      <w:r>
        <w:t>quaranteM</w:t>
      </w:r>
      <w:r w:rsidRPr="005A7440">
        <w:t>ille</w:t>
      </w:r>
      <w:r>
        <w:rPr>
          <w:b/>
        </w:rPr>
        <w:t xml:space="preserve"> (440 000)</w:t>
      </w:r>
      <w:r w:rsidRPr="002E6262">
        <w:rPr>
          <w:b/>
        </w:rPr>
        <w:t xml:space="preserve"> F CFA</w:t>
      </w:r>
      <w:r>
        <w:rPr>
          <w:b/>
        </w:rPr>
        <w:t> ;</w:t>
      </w:r>
    </w:p>
    <w:p w:rsidR="0053726D" w:rsidRPr="00E42DDF" w:rsidRDefault="0053726D" w:rsidP="0053726D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2E6262">
        <w:rPr>
          <w:b/>
        </w:rPr>
        <w:t>lot</w:t>
      </w:r>
      <w:r>
        <w:rPr>
          <w:b/>
        </w:rPr>
        <w:t xml:space="preserve"> n°4 : </w:t>
      </w:r>
      <w:r>
        <w:t>Un Million QuatreCent M</w:t>
      </w:r>
      <w:r w:rsidRPr="005A7440">
        <w:t>ille</w:t>
      </w:r>
      <w:r>
        <w:rPr>
          <w:b/>
        </w:rPr>
        <w:t xml:space="preserve"> (1 400 000) </w:t>
      </w:r>
      <w:r w:rsidRPr="002E6262">
        <w:rPr>
          <w:b/>
        </w:rPr>
        <w:t>F CFA</w:t>
      </w:r>
      <w:r>
        <w:rPr>
          <w:b/>
        </w:rPr>
        <w:t> ;</w:t>
      </w:r>
    </w:p>
    <w:p w:rsidR="0053726D" w:rsidRPr="008D52AD" w:rsidRDefault="0053726D" w:rsidP="0053726D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2E6262">
        <w:rPr>
          <w:b/>
        </w:rPr>
        <w:t>lot</w:t>
      </w:r>
      <w:r>
        <w:rPr>
          <w:b/>
        </w:rPr>
        <w:t xml:space="preserve"> n°5 : </w:t>
      </w:r>
      <w:r>
        <w:t>Sept C</w:t>
      </w:r>
      <w:r w:rsidRPr="00957130">
        <w:t xml:space="preserve">ent </w:t>
      </w:r>
      <w:r>
        <w:t>Quatre-vingt M</w:t>
      </w:r>
      <w:r w:rsidRPr="00957130">
        <w:t>ille</w:t>
      </w:r>
      <w:r>
        <w:rPr>
          <w:b/>
        </w:rPr>
        <w:t xml:space="preserve"> (</w:t>
      </w:r>
      <w:r w:rsidRPr="00E42DDF">
        <w:rPr>
          <w:b/>
        </w:rPr>
        <w:t>7</w:t>
      </w:r>
      <w:r>
        <w:rPr>
          <w:b/>
        </w:rPr>
        <w:t>8000</w:t>
      </w:r>
      <w:r w:rsidRPr="00E42DDF">
        <w:rPr>
          <w:b/>
        </w:rPr>
        <w:t>0</w:t>
      </w:r>
      <w:r>
        <w:rPr>
          <w:b/>
        </w:rPr>
        <w:t xml:space="preserve">) </w:t>
      </w:r>
      <w:r w:rsidRPr="002E6262">
        <w:rPr>
          <w:b/>
        </w:rPr>
        <w:t>F CFA</w:t>
      </w:r>
      <w:r>
        <w:rPr>
          <w:b/>
        </w:rPr>
        <w:t> ;</w:t>
      </w:r>
    </w:p>
    <w:p w:rsidR="0053726D" w:rsidRPr="00F52B13" w:rsidRDefault="0053726D" w:rsidP="0053726D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2E6262">
        <w:rPr>
          <w:b/>
        </w:rPr>
        <w:t>lot</w:t>
      </w:r>
      <w:r>
        <w:rPr>
          <w:b/>
        </w:rPr>
        <w:t xml:space="preserve"> n°6 : </w:t>
      </w:r>
      <w:r w:rsidRPr="006E4883">
        <w:t>Un Million</w:t>
      </w:r>
      <w:r>
        <w:t>Six C</w:t>
      </w:r>
      <w:r w:rsidRPr="00957130">
        <w:t xml:space="preserve">ent </w:t>
      </w:r>
      <w:r>
        <w:t>Cinquante M</w:t>
      </w:r>
      <w:r w:rsidRPr="00957130">
        <w:t>ille</w:t>
      </w:r>
      <w:r>
        <w:rPr>
          <w:b/>
        </w:rPr>
        <w:t xml:space="preserve"> (1 650 0</w:t>
      </w:r>
      <w:r w:rsidRPr="00E42DDF">
        <w:rPr>
          <w:b/>
        </w:rPr>
        <w:t>00</w:t>
      </w:r>
      <w:r>
        <w:rPr>
          <w:b/>
        </w:rPr>
        <w:t xml:space="preserve">) </w:t>
      </w:r>
      <w:r w:rsidRPr="002E6262">
        <w:rPr>
          <w:b/>
        </w:rPr>
        <w:t>F CFA</w:t>
      </w:r>
      <w:r>
        <w:rPr>
          <w:b/>
        </w:rPr>
        <w:t>.</w:t>
      </w:r>
    </w:p>
    <w:p w:rsidR="0053726D" w:rsidRPr="00172CC8" w:rsidRDefault="0053726D" w:rsidP="0053726D">
      <w:pPr>
        <w:suppressAutoHyphens w:val="0"/>
        <w:overflowPunct/>
        <w:autoSpaceDE/>
        <w:adjustRightInd/>
        <w:spacing w:after="200"/>
        <w:ind w:left="360"/>
        <w:textAlignment w:val="auto"/>
        <w:rPr>
          <w:b/>
          <w:sz w:val="20"/>
        </w:rPr>
      </w:pPr>
      <w:r w:rsidRPr="002B0E4C">
        <w:rPr>
          <w:b/>
          <w:i/>
        </w:rPr>
        <w:t xml:space="preserve">La garantie de </w:t>
      </w:r>
      <w:r>
        <w:rPr>
          <w:b/>
          <w:i/>
        </w:rPr>
        <w:t xml:space="preserve">la </w:t>
      </w:r>
      <w:r w:rsidRPr="002B0E4C">
        <w:rPr>
          <w:b/>
          <w:i/>
        </w:rPr>
        <w:t>soumission doit être ferme</w:t>
      </w:r>
      <w:r w:rsidRPr="002E6262">
        <w:rPr>
          <w:b/>
        </w:rPr>
        <w:t xml:space="preserve">. </w:t>
      </w:r>
      <w:r>
        <w:t xml:space="preserve">Les Soumissionnaires resteront </w:t>
      </w:r>
      <w:r w:rsidRPr="00F93908">
        <w:rPr>
          <w:iCs/>
        </w:rPr>
        <w:t>engagés par leur</w:t>
      </w:r>
      <w:r>
        <w:rPr>
          <w:iCs/>
        </w:rPr>
        <w:t>s</w:t>
      </w:r>
      <w:r w:rsidRPr="00F93908">
        <w:rPr>
          <w:iCs/>
        </w:rPr>
        <w:t xml:space="preserve"> offre</w:t>
      </w:r>
      <w:r>
        <w:rPr>
          <w:iCs/>
        </w:rPr>
        <w:t>s</w:t>
      </w:r>
      <w:r w:rsidRPr="00F93908">
        <w:rPr>
          <w:iCs/>
        </w:rPr>
        <w:t xml:space="preserve"> pen</w:t>
      </w:r>
      <w:r>
        <w:t xml:space="preserve">dant une période de </w:t>
      </w:r>
      <w:r w:rsidRPr="00172CC8">
        <w:rPr>
          <w:b/>
        </w:rPr>
        <w:t>90 joursà compter de la date limite du dépôt des offres comme spécifié au point 19.1 des IC et au DPAO.</w:t>
      </w:r>
    </w:p>
    <w:p w:rsidR="0053726D" w:rsidRDefault="0053726D" w:rsidP="0053726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172CC8">
        <w:rPr>
          <w:b/>
        </w:rPr>
        <w:lastRenderedPageBreak/>
        <w:t>Les offres seront ouvertes en présence des représentants des soumissionnaires qui souhaite</w:t>
      </w:r>
      <w:r>
        <w:rPr>
          <w:b/>
        </w:rPr>
        <w:t>ro</w:t>
      </w:r>
      <w:r w:rsidRPr="00172CC8">
        <w:rPr>
          <w:b/>
        </w:rPr>
        <w:t>nt assister à l’ouverture des pl</w:t>
      </w:r>
      <w:r>
        <w:t xml:space="preserve">is </w:t>
      </w:r>
      <w:r w:rsidRPr="00375F19">
        <w:rPr>
          <w:b/>
        </w:rPr>
        <w:t>le</w:t>
      </w:r>
      <w:r>
        <w:rPr>
          <w:b/>
        </w:rPr>
        <w:t xml:space="preserve"> Mercredi 24Février</w:t>
      </w:r>
      <w:r w:rsidRPr="004A4F5F">
        <w:rPr>
          <w:b/>
        </w:rPr>
        <w:t>20</w:t>
      </w:r>
      <w:r w:rsidRPr="00230BE3">
        <w:rPr>
          <w:b/>
        </w:rPr>
        <w:t>2</w:t>
      </w:r>
      <w:r>
        <w:rPr>
          <w:b/>
        </w:rPr>
        <w:t>1</w:t>
      </w:r>
      <w:r w:rsidRPr="004A4F5F">
        <w:rPr>
          <w:b/>
        </w:rPr>
        <w:t xml:space="preserve"> à 10 heure 00</w:t>
      </w:r>
      <w:r>
        <w:rPr>
          <w:b/>
        </w:rPr>
        <w:t xml:space="preserve"> mn</w:t>
      </w:r>
      <w:r w:rsidRPr="00014CDC">
        <w:t>à</w:t>
      </w:r>
      <w:r>
        <w:t xml:space="preserve"> l’adresse suivante : dans l</w:t>
      </w:r>
      <w:r w:rsidRPr="006E4883">
        <w:rPr>
          <w:iCs/>
          <w:sz w:val="23"/>
          <w:szCs w:val="23"/>
        </w:rPr>
        <w:t>a</w:t>
      </w:r>
      <w:r w:rsidRPr="006E4883">
        <w:rPr>
          <w:b/>
          <w:iCs/>
          <w:sz w:val="23"/>
          <w:szCs w:val="23"/>
        </w:rPr>
        <w:t>Salle de conférence de la d</w:t>
      </w:r>
      <w:r>
        <w:rPr>
          <w:b/>
          <w:iCs/>
        </w:rPr>
        <w:t>irection de</w:t>
      </w:r>
      <w:r w:rsidRPr="00BF67B4">
        <w:rPr>
          <w:b/>
          <w:iCs/>
        </w:rPr>
        <w:t xml:space="preserve"> Zone de Kolongo</w:t>
      </w:r>
      <w:r>
        <w:rPr>
          <w:i/>
        </w:rPr>
        <w:t>.</w:t>
      </w:r>
    </w:p>
    <w:p w:rsidR="0053726D" w:rsidRPr="00246B62" w:rsidRDefault="0053726D" w:rsidP="0053726D">
      <w:pPr>
        <w:jc w:val="right"/>
        <w:rPr>
          <w:rFonts w:cs="Times New Roman"/>
          <w:b/>
          <w:color w:val="000000"/>
          <w:sz w:val="16"/>
          <w:szCs w:val="16"/>
          <w:lang w:val="fr-CA"/>
        </w:rPr>
      </w:pPr>
    </w:p>
    <w:p w:rsidR="0053726D" w:rsidRPr="004D42F1" w:rsidRDefault="0053726D" w:rsidP="0053726D">
      <w:pPr>
        <w:jc w:val="right"/>
        <w:rPr>
          <w:rFonts w:cs="Times New Roman"/>
          <w:b/>
          <w:color w:val="000000"/>
          <w:lang w:val="fr-CA"/>
        </w:rPr>
      </w:pPr>
      <w:r w:rsidRPr="004D42F1">
        <w:rPr>
          <w:rFonts w:cs="Times New Roman"/>
          <w:b/>
          <w:color w:val="000000"/>
          <w:lang w:val="fr-CA"/>
        </w:rPr>
        <w:t xml:space="preserve">Kolongo, </w:t>
      </w:r>
      <w:r w:rsidRPr="004D42F1">
        <w:rPr>
          <w:rFonts w:cs="Times New Roman"/>
          <w:b/>
          <w:lang w:val="fr-CA"/>
        </w:rPr>
        <w:t xml:space="preserve">le </w:t>
      </w:r>
      <w:r>
        <w:rPr>
          <w:rFonts w:cs="Times New Roman"/>
          <w:b/>
          <w:lang w:val="fr-CA"/>
        </w:rPr>
        <w:t xml:space="preserve"> 05Février</w:t>
      </w:r>
      <w:r w:rsidRPr="00230BE3">
        <w:rPr>
          <w:rFonts w:cs="Times New Roman"/>
          <w:b/>
          <w:color w:val="000000"/>
          <w:lang w:val="fr-CA"/>
        </w:rPr>
        <w:t xml:space="preserve"> 202</w:t>
      </w:r>
      <w:r>
        <w:rPr>
          <w:rFonts w:cs="Times New Roman"/>
          <w:b/>
          <w:color w:val="000000"/>
          <w:lang w:val="fr-CA"/>
        </w:rPr>
        <w:t>1</w:t>
      </w:r>
    </w:p>
    <w:p w:rsidR="0053726D" w:rsidRPr="00246B62" w:rsidRDefault="0053726D" w:rsidP="0053726D">
      <w:pPr>
        <w:jc w:val="right"/>
        <w:rPr>
          <w:rFonts w:cs="Times New Roman"/>
          <w:b/>
          <w:i/>
          <w:color w:val="000000"/>
          <w:sz w:val="16"/>
          <w:szCs w:val="16"/>
          <w:lang w:val="fr-CA"/>
        </w:rPr>
      </w:pPr>
    </w:p>
    <w:p w:rsidR="0053726D" w:rsidRPr="004D42F1" w:rsidRDefault="0053726D" w:rsidP="0053726D">
      <w:pPr>
        <w:jc w:val="center"/>
        <w:rPr>
          <w:rFonts w:cs="Times New Roman"/>
          <w:b/>
          <w:i/>
          <w:color w:val="000000"/>
          <w:lang w:val="fr-CA"/>
        </w:rPr>
      </w:pPr>
      <w:r w:rsidRPr="004D42F1">
        <w:rPr>
          <w:rFonts w:cs="Times New Roman"/>
          <w:b/>
          <w:i/>
          <w:color w:val="000000"/>
          <w:lang w:val="fr-CA"/>
        </w:rPr>
        <w:t xml:space="preserve"> Le Directeur de Zone</w:t>
      </w:r>
    </w:p>
    <w:p w:rsidR="0053726D" w:rsidRPr="004D42F1" w:rsidRDefault="0053726D" w:rsidP="0053726D">
      <w:pPr>
        <w:jc w:val="right"/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:rsidR="0053726D" w:rsidRPr="004D42F1" w:rsidRDefault="0053726D" w:rsidP="0053726D">
      <w:pPr>
        <w:jc w:val="right"/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:rsidR="0053726D" w:rsidRPr="004D42F1" w:rsidRDefault="0053726D" w:rsidP="0053726D">
      <w:pPr>
        <w:rPr>
          <w:rFonts w:cs="Times New Roman"/>
          <w:b/>
          <w:i/>
          <w:color w:val="000000"/>
          <w:sz w:val="20"/>
          <w:szCs w:val="20"/>
          <w:lang w:val="fr-CA"/>
        </w:rPr>
      </w:pPr>
    </w:p>
    <w:p w:rsidR="0053726D" w:rsidRDefault="0053726D" w:rsidP="0053726D">
      <w:pPr>
        <w:ind w:left="720"/>
        <w:jc w:val="right"/>
        <w:rPr>
          <w:i/>
          <w:sz w:val="20"/>
        </w:rPr>
      </w:pPr>
      <w:r w:rsidRPr="00790A25">
        <w:rPr>
          <w:rFonts w:cs="Times New Roman"/>
          <w:b/>
          <w:color w:val="000000"/>
          <w:lang w:val="fr-CA"/>
        </w:rPr>
        <w:t xml:space="preserve">Mr </w:t>
      </w:r>
      <w:r>
        <w:rPr>
          <w:rFonts w:cs="Times New Roman"/>
          <w:b/>
          <w:color w:val="000000"/>
          <w:lang w:val="fr-CA"/>
        </w:rPr>
        <w:t>Lassana</w:t>
      </w:r>
      <w:r w:rsidRPr="00790A25">
        <w:rPr>
          <w:rFonts w:cs="Times New Roman"/>
          <w:b/>
          <w:color w:val="000000"/>
          <w:lang w:val="fr-CA"/>
        </w:rPr>
        <w:t xml:space="preserve"> DI</w:t>
      </w:r>
      <w:r>
        <w:rPr>
          <w:rFonts w:cs="Times New Roman"/>
          <w:b/>
          <w:color w:val="000000"/>
          <w:lang w:val="fr-CA"/>
        </w:rPr>
        <w:t>AKITE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:rsidR="00616D06" w:rsidRDefault="00616D06" w:rsidP="00616D06">
      <w:pPr>
        <w:ind w:left="6372"/>
        <w:jc w:val="right"/>
        <w:rPr>
          <w:i/>
          <w:sz w:val="20"/>
        </w:rPr>
      </w:pPr>
      <w:r>
        <w:rPr>
          <w:i/>
          <w:sz w:val="22"/>
        </w:rPr>
        <w:tab/>
      </w:r>
    </w:p>
    <w:p w:rsidR="009D16B9" w:rsidRPr="00215424" w:rsidRDefault="009D16B9" w:rsidP="00215424">
      <w:pPr>
        <w:suppressAutoHyphens w:val="0"/>
        <w:overflowPunct/>
        <w:autoSpaceDE/>
        <w:adjustRightInd/>
        <w:spacing w:after="200"/>
        <w:rPr>
          <w:sz w:val="16"/>
          <w:szCs w:val="16"/>
        </w:rPr>
      </w:pPr>
    </w:p>
    <w:sectPr w:rsidR="009D16B9" w:rsidRPr="00215424" w:rsidSect="00BA212B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38" w:rsidRDefault="00356E38" w:rsidP="00616D06">
      <w:r>
        <w:separator/>
      </w:r>
    </w:p>
  </w:endnote>
  <w:endnote w:type="continuationSeparator" w:id="1">
    <w:p w:rsidR="00356E38" w:rsidRDefault="00356E38" w:rsidP="0061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568001"/>
      <w:docPartObj>
        <w:docPartGallery w:val="Page Numbers (Bottom of Page)"/>
        <w:docPartUnique/>
      </w:docPartObj>
    </w:sdtPr>
    <w:sdtContent>
      <w:p w:rsidR="00666303" w:rsidRDefault="007C456E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 1" o:spid="_x0000_s10241" type="#_x0000_t65" style="position:absolute;left:0;text-align:left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" o:allowincell="f" adj="14135" strokecolor="gray [1629]" strokeweight=".25pt">
              <v:path arrowok="t"/>
              <v:textbox>
                <w:txbxContent>
                  <w:p w:rsidR="00666303" w:rsidRDefault="007C456E">
                    <w:pPr>
                      <w:jc w:val="center"/>
                    </w:pPr>
                    <w:r w:rsidRPr="007C456E">
                      <w:fldChar w:fldCharType="begin"/>
                    </w:r>
                    <w:r w:rsidR="00547728">
                      <w:instrText xml:space="preserve"> PAGE    \* MERGEFORMAT </w:instrText>
                    </w:r>
                    <w:r w:rsidRPr="007C456E">
                      <w:fldChar w:fldCharType="separate"/>
                    </w:r>
                    <w:r w:rsidR="000479FF" w:rsidRPr="000479FF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38" w:rsidRDefault="00356E38" w:rsidP="00616D06">
      <w:r>
        <w:separator/>
      </w:r>
    </w:p>
  </w:footnote>
  <w:footnote w:type="continuationSeparator" w:id="1">
    <w:p w:rsidR="00356E38" w:rsidRDefault="00356E38" w:rsidP="00616D06">
      <w:r>
        <w:continuationSeparator/>
      </w:r>
    </w:p>
  </w:footnote>
  <w:footnote w:id="2">
    <w:p w:rsidR="0053726D" w:rsidRDefault="0053726D" w:rsidP="0053726D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DA7C8B"/>
    <w:multiLevelType w:val="hybridMultilevel"/>
    <w:tmpl w:val="CCA68936"/>
    <w:lvl w:ilvl="0" w:tplc="2EB8D4D0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616D06"/>
    <w:rsid w:val="000479FF"/>
    <w:rsid w:val="00107C10"/>
    <w:rsid w:val="001A0A0C"/>
    <w:rsid w:val="00215424"/>
    <w:rsid w:val="00356E38"/>
    <w:rsid w:val="003C784E"/>
    <w:rsid w:val="0053726D"/>
    <w:rsid w:val="00547728"/>
    <w:rsid w:val="00616D06"/>
    <w:rsid w:val="0066530B"/>
    <w:rsid w:val="00666303"/>
    <w:rsid w:val="007C1EF8"/>
    <w:rsid w:val="007C456E"/>
    <w:rsid w:val="009D16B9"/>
    <w:rsid w:val="00BA212B"/>
    <w:rsid w:val="00C704B8"/>
    <w:rsid w:val="00C74E1F"/>
    <w:rsid w:val="00C938AD"/>
    <w:rsid w:val="00D943B5"/>
    <w:rsid w:val="00FD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0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D06"/>
    <w:pPr>
      <w:ind w:left="708"/>
    </w:pPr>
  </w:style>
  <w:style w:type="paragraph" w:styleId="Sansinterligne">
    <w:name w:val="No Spacing"/>
    <w:link w:val="SansinterligneCar"/>
    <w:uiPriority w:val="1"/>
    <w:qFormat/>
    <w:rsid w:val="00616D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616D06"/>
    <w:rPr>
      <w:rFonts w:ascii="Calibri" w:eastAsia="Times New Roman" w:hAnsi="Calibri" w:cs="Times New Roman"/>
    </w:rPr>
  </w:style>
  <w:style w:type="paragraph" w:customStyle="1" w:styleId="StyleComplexe11ptGrasInterlignesimple">
    <w:name w:val="Style (Complexe) 11 pt Gras Interligne : simple"/>
    <w:basedOn w:val="Normal"/>
    <w:rsid w:val="00616D06"/>
    <w:pPr>
      <w:suppressAutoHyphens w:val="0"/>
      <w:overflowPunct/>
      <w:autoSpaceDE/>
      <w:autoSpaceDN/>
      <w:adjustRightInd/>
      <w:textAlignment w:val="auto"/>
    </w:pPr>
    <w:rPr>
      <w:rFonts w:ascii="Arial" w:hAnsi="Arial" w:cs="Times New Roman"/>
      <w:b/>
      <w:bCs/>
      <w:sz w:val="22"/>
      <w:szCs w:val="22"/>
    </w:rPr>
  </w:style>
  <w:style w:type="character" w:styleId="Appelnotedebasdep">
    <w:name w:val="footnote reference"/>
    <w:uiPriority w:val="99"/>
    <w:semiHidden/>
    <w:rsid w:val="00616D0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616D06"/>
    <w:rPr>
      <w:rFonts w:cs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6D06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663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66303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663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03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 Moctar</cp:lastModifiedBy>
  <cp:revision>2</cp:revision>
  <cp:lastPrinted>2021-02-02T14:46:00Z</cp:lastPrinted>
  <dcterms:created xsi:type="dcterms:W3CDTF">2021-03-16T14:25:00Z</dcterms:created>
  <dcterms:modified xsi:type="dcterms:W3CDTF">2021-03-16T14:25:00Z</dcterms:modified>
</cp:coreProperties>
</file>