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988CD" w14:textId="44D19923" w:rsidR="00411379" w:rsidRDefault="00411379" w:rsidP="00411379">
      <w:pPr>
        <w:rPr>
          <w:b/>
          <w:bCs/>
        </w:rPr>
      </w:pPr>
      <w:r>
        <w:rPr>
          <w:b/>
          <w:bCs/>
        </w:rPr>
        <w:t>MINISTERE DE LA JUSTICE ET                                   REPUBLIQUE DU MALI</w:t>
      </w:r>
    </w:p>
    <w:p w14:paraId="6381E1A9" w14:textId="0E496C92" w:rsidR="00411379" w:rsidRDefault="00411379" w:rsidP="00411379">
      <w:pPr>
        <w:rPr>
          <w:b/>
          <w:bCs/>
        </w:rPr>
      </w:pPr>
      <w:r>
        <w:rPr>
          <w:b/>
          <w:bCs/>
        </w:rPr>
        <w:t>DES DROITS DE L’HOMME                                     UN PEUPLE- UN BUT- UNE FOI</w:t>
      </w:r>
    </w:p>
    <w:p w14:paraId="08BAEB49" w14:textId="65A0B469" w:rsidR="00411379" w:rsidRDefault="00411379" w:rsidP="00411379">
      <w:pPr>
        <w:rPr>
          <w:b/>
          <w:bCs/>
        </w:rPr>
      </w:pPr>
      <w:r>
        <w:rPr>
          <w:b/>
          <w:bCs/>
        </w:rPr>
        <w:t xml:space="preserve">          *********                                                                                *********</w:t>
      </w:r>
    </w:p>
    <w:p w14:paraId="05E10FA9" w14:textId="77777777" w:rsidR="00411379" w:rsidRDefault="00411379" w:rsidP="00411379">
      <w:pPr>
        <w:rPr>
          <w:b/>
          <w:bCs/>
        </w:rPr>
      </w:pPr>
      <w:r>
        <w:rPr>
          <w:b/>
          <w:bCs/>
        </w:rPr>
        <w:t xml:space="preserve">DIRECTION DES FINANCES </w:t>
      </w:r>
    </w:p>
    <w:p w14:paraId="26228C74" w14:textId="77777777" w:rsidR="00411379" w:rsidRDefault="00411379" w:rsidP="00411379">
      <w:pPr>
        <w:rPr>
          <w:b/>
          <w:bCs/>
        </w:rPr>
      </w:pPr>
      <w:r>
        <w:rPr>
          <w:b/>
          <w:bCs/>
        </w:rPr>
        <w:t>ET DU MATERIEL</w:t>
      </w:r>
    </w:p>
    <w:p w14:paraId="1673119D" w14:textId="77777777" w:rsidR="00411379" w:rsidRDefault="00411379" w:rsidP="00411379">
      <w:pPr>
        <w:tabs>
          <w:tab w:val="right" w:pos="9070"/>
        </w:tabs>
        <w:rPr>
          <w:b/>
          <w:bCs/>
          <w:sz w:val="22"/>
          <w:szCs w:val="22"/>
        </w:rPr>
      </w:pPr>
      <w:r>
        <w:rPr>
          <w:b/>
          <w:bCs/>
        </w:rPr>
        <w:t xml:space="preserve">        ***********</w:t>
      </w:r>
    </w:p>
    <w:p w14:paraId="577774D9" w14:textId="77777777" w:rsidR="00411379" w:rsidRDefault="00411379" w:rsidP="00411379">
      <w:pPr>
        <w:spacing w:line="360" w:lineRule="auto"/>
        <w:jc w:val="center"/>
        <w:rPr>
          <w:b/>
          <w:sz w:val="32"/>
          <w:szCs w:val="32"/>
        </w:rPr>
      </w:pPr>
      <w:r>
        <w:rPr>
          <w:b/>
          <w:sz w:val="32"/>
          <w:szCs w:val="32"/>
        </w:rPr>
        <w:t>Avis d’Appel d’Offres Ouvert (AAOO)</w:t>
      </w:r>
    </w:p>
    <w:p w14:paraId="1CCA873F" w14:textId="77777777" w:rsidR="00411379" w:rsidRDefault="00411379" w:rsidP="00411379">
      <w:pPr>
        <w:spacing w:line="360" w:lineRule="auto"/>
        <w:jc w:val="center"/>
        <w:rPr>
          <w:b/>
          <w:sz w:val="32"/>
          <w:szCs w:val="32"/>
        </w:rPr>
      </w:pPr>
      <w:r>
        <w:rPr>
          <w:b/>
          <w:bCs/>
          <w:color w:val="FF0000"/>
          <w:sz w:val="28"/>
        </w:rPr>
        <w:t xml:space="preserve">Ministère de la Justice et des Droits de l’Homme </w:t>
      </w:r>
    </w:p>
    <w:p w14:paraId="20B32A45" w14:textId="77777777" w:rsidR="00411379" w:rsidRDefault="00411379" w:rsidP="00411379">
      <w:pPr>
        <w:spacing w:line="360" w:lineRule="auto"/>
        <w:jc w:val="center"/>
        <w:rPr>
          <w:b/>
          <w:bCs/>
          <w:sz w:val="22"/>
          <w:szCs w:val="18"/>
        </w:rPr>
      </w:pPr>
      <w:r>
        <w:rPr>
          <w:b/>
          <w:bCs/>
          <w:color w:val="FF0000"/>
          <w:sz w:val="28"/>
          <w:szCs w:val="18"/>
        </w:rPr>
        <w:t>AAO N°003/MJDH-DFM</w:t>
      </w:r>
    </w:p>
    <w:p w14:paraId="14695D41" w14:textId="669DF470" w:rsidR="00411379" w:rsidRPr="009B535B" w:rsidRDefault="00411379" w:rsidP="00411379">
      <w:pPr>
        <w:jc w:val="both"/>
        <w:rPr>
          <w:b/>
          <w:bCs/>
          <w:i/>
          <w:iCs/>
        </w:rPr>
      </w:pPr>
      <w:r w:rsidRPr="009B535B">
        <w:rPr>
          <w:b/>
          <w:bCs/>
        </w:rPr>
        <w:t>Cet Avis d’appel d’offres fait suite à l’Avis Général de Passation des Marchés paru dans journal ESSOR N°19288 du 17 novembre 2020.</w:t>
      </w:r>
    </w:p>
    <w:p w14:paraId="292B4554" w14:textId="77777777" w:rsidR="00411379" w:rsidRDefault="00411379" w:rsidP="00411379">
      <w:pPr>
        <w:pStyle w:val="Paragraphedeliste"/>
        <w:numPr>
          <w:ilvl w:val="0"/>
          <w:numId w:val="1"/>
        </w:numPr>
        <w:spacing w:before="120" w:after="120"/>
        <w:jc w:val="both"/>
        <w:rPr>
          <w:szCs w:val="24"/>
        </w:rPr>
      </w:pPr>
      <w:r>
        <w:rPr>
          <w:szCs w:val="24"/>
        </w:rPr>
        <w:t xml:space="preserve">Le Ministère de la Justice et des Droits de l’Homme dispose de fonds sur le budget de l’État, afin de financer </w:t>
      </w:r>
      <w:r>
        <w:rPr>
          <w:color w:val="FF0000"/>
          <w:szCs w:val="24"/>
        </w:rPr>
        <w:t>entretien des bâtiments (rénovation)</w:t>
      </w:r>
      <w:r>
        <w:rPr>
          <w:szCs w:val="24"/>
        </w:rPr>
        <w:t xml:space="preserve">, et à l’intention d’utiliser une partie de ces fonds pour effectuer des paiements au titre des Marché </w:t>
      </w:r>
      <w:r>
        <w:rPr>
          <w:color w:val="FF0000"/>
          <w:szCs w:val="24"/>
        </w:rPr>
        <w:t xml:space="preserve">relatifs à l’Entretien et Nettoyage des locaux des Tribunaux de Grande Instance des communes I, II, III, IV, V, VI, de la Cour d'Appel, du Parquet General, du Tribunal Administratif de Bamako, du Tribunal de Commerce de Bamako, du tribunal de Travail de Bamako et la Direction Nationale de l’Administration de la Justice en sept (07) lots distincts </w:t>
      </w:r>
      <w:r>
        <w:rPr>
          <w:szCs w:val="24"/>
        </w:rPr>
        <w:t xml:space="preserve">: </w:t>
      </w:r>
    </w:p>
    <w:p w14:paraId="7C0F82A0" w14:textId="77777777" w:rsidR="00411379" w:rsidRDefault="00411379" w:rsidP="00411379">
      <w:pPr>
        <w:pStyle w:val="Titre"/>
        <w:numPr>
          <w:ilvl w:val="0"/>
          <w:numId w:val="2"/>
        </w:numPr>
        <w:spacing w:line="276" w:lineRule="auto"/>
        <w:jc w:val="left"/>
        <w:rPr>
          <w:b w:val="0"/>
          <w:bCs/>
          <w:sz w:val="24"/>
          <w:lang w:val="fr-FR"/>
        </w:rPr>
      </w:pPr>
      <w:r>
        <w:rPr>
          <w:sz w:val="24"/>
          <w:lang w:val="fr-FR"/>
        </w:rPr>
        <w:t>Lot 1 :</w:t>
      </w:r>
      <w:r>
        <w:rPr>
          <w:b w:val="0"/>
          <w:bCs/>
          <w:sz w:val="24"/>
          <w:lang w:val="fr-FR"/>
        </w:rPr>
        <w:t xml:space="preserve"> Entretien et Nettoyage des locaux des Tribunaux de Grande Instance des communes I et II ; </w:t>
      </w:r>
    </w:p>
    <w:p w14:paraId="7A132F87" w14:textId="77777777" w:rsidR="00411379" w:rsidRDefault="00411379" w:rsidP="00411379">
      <w:pPr>
        <w:pStyle w:val="Titre"/>
        <w:numPr>
          <w:ilvl w:val="0"/>
          <w:numId w:val="2"/>
        </w:numPr>
        <w:spacing w:line="276" w:lineRule="auto"/>
        <w:jc w:val="left"/>
        <w:rPr>
          <w:b w:val="0"/>
          <w:bCs/>
          <w:sz w:val="24"/>
          <w:lang w:val="fr-FR"/>
        </w:rPr>
      </w:pPr>
      <w:r>
        <w:rPr>
          <w:sz w:val="24"/>
          <w:lang w:val="fr-FR"/>
        </w:rPr>
        <w:t>Lot 2 :</w:t>
      </w:r>
      <w:r>
        <w:rPr>
          <w:b w:val="0"/>
          <w:bCs/>
          <w:sz w:val="24"/>
          <w:lang w:val="fr-FR"/>
        </w:rPr>
        <w:t xml:space="preserve"> Entretien et Nettoyage des locaux des Tribunaux de Grande Instance des communes III et IV ; </w:t>
      </w:r>
    </w:p>
    <w:p w14:paraId="4D13548A" w14:textId="77777777" w:rsidR="00411379" w:rsidRDefault="00411379" w:rsidP="00411379">
      <w:pPr>
        <w:pStyle w:val="Titre"/>
        <w:numPr>
          <w:ilvl w:val="0"/>
          <w:numId w:val="2"/>
        </w:numPr>
        <w:spacing w:line="276" w:lineRule="auto"/>
        <w:jc w:val="left"/>
        <w:rPr>
          <w:b w:val="0"/>
          <w:bCs/>
          <w:sz w:val="24"/>
          <w:lang w:val="fr-FR"/>
        </w:rPr>
      </w:pPr>
      <w:r>
        <w:rPr>
          <w:sz w:val="24"/>
          <w:lang w:val="fr-FR"/>
        </w:rPr>
        <w:t>Lot 3 :</w:t>
      </w:r>
      <w:r>
        <w:rPr>
          <w:b w:val="0"/>
          <w:bCs/>
          <w:sz w:val="24"/>
          <w:lang w:val="fr-FR"/>
        </w:rPr>
        <w:t xml:space="preserve"> Entretien et Nettoyage des locaux du Tribunal Administratif de Bamako et du Tribunal de Commerce de Bamako ; </w:t>
      </w:r>
    </w:p>
    <w:p w14:paraId="799F0DC4" w14:textId="77777777" w:rsidR="00411379" w:rsidRDefault="00411379" w:rsidP="00411379">
      <w:pPr>
        <w:pStyle w:val="Titre"/>
        <w:numPr>
          <w:ilvl w:val="0"/>
          <w:numId w:val="2"/>
        </w:numPr>
        <w:spacing w:line="276" w:lineRule="auto"/>
        <w:jc w:val="left"/>
        <w:rPr>
          <w:b w:val="0"/>
          <w:bCs/>
          <w:sz w:val="24"/>
          <w:lang w:val="fr-FR"/>
        </w:rPr>
      </w:pPr>
      <w:r>
        <w:rPr>
          <w:sz w:val="24"/>
          <w:lang w:val="fr-FR"/>
        </w:rPr>
        <w:t>Lot 4 :</w:t>
      </w:r>
      <w:r>
        <w:rPr>
          <w:b w:val="0"/>
          <w:bCs/>
          <w:sz w:val="24"/>
          <w:lang w:val="fr-FR"/>
        </w:rPr>
        <w:t xml:space="preserve"> Entretien et Nettoyage des Locaux des Tribunaux de Grande Instance des communes V et VI ; </w:t>
      </w:r>
    </w:p>
    <w:p w14:paraId="65E01E06" w14:textId="77777777" w:rsidR="00411379" w:rsidRDefault="00411379" w:rsidP="00411379">
      <w:pPr>
        <w:pStyle w:val="Titre"/>
        <w:numPr>
          <w:ilvl w:val="0"/>
          <w:numId w:val="2"/>
        </w:numPr>
        <w:spacing w:line="276" w:lineRule="auto"/>
        <w:jc w:val="left"/>
        <w:rPr>
          <w:b w:val="0"/>
          <w:bCs/>
          <w:sz w:val="24"/>
          <w:lang w:val="fr-FR"/>
        </w:rPr>
      </w:pPr>
      <w:r>
        <w:rPr>
          <w:sz w:val="24"/>
          <w:lang w:val="fr-FR"/>
        </w:rPr>
        <w:t>Lot 5 :</w:t>
      </w:r>
      <w:r>
        <w:rPr>
          <w:b w:val="0"/>
          <w:bCs/>
          <w:sz w:val="24"/>
          <w:lang w:val="fr-FR"/>
        </w:rPr>
        <w:t xml:space="preserve"> Entretien et Nettoyage des Locaux de la Direction Nationale de </w:t>
      </w:r>
      <w:proofErr w:type="gramStart"/>
      <w:r>
        <w:rPr>
          <w:b w:val="0"/>
          <w:bCs/>
          <w:sz w:val="24"/>
          <w:lang w:val="fr-FR"/>
        </w:rPr>
        <w:t>l’Administration</w:t>
      </w:r>
      <w:proofErr w:type="gramEnd"/>
      <w:r>
        <w:rPr>
          <w:b w:val="0"/>
          <w:bCs/>
          <w:sz w:val="24"/>
          <w:lang w:val="fr-FR"/>
        </w:rPr>
        <w:t xml:space="preserve"> de la Justice DNAJ ; </w:t>
      </w:r>
    </w:p>
    <w:p w14:paraId="61ECB5E7" w14:textId="77777777" w:rsidR="00411379" w:rsidRDefault="00411379" w:rsidP="00411379">
      <w:pPr>
        <w:pStyle w:val="Titre"/>
        <w:numPr>
          <w:ilvl w:val="0"/>
          <w:numId w:val="2"/>
        </w:numPr>
        <w:spacing w:line="276" w:lineRule="auto"/>
        <w:jc w:val="left"/>
        <w:rPr>
          <w:b w:val="0"/>
          <w:bCs/>
          <w:sz w:val="24"/>
          <w:lang w:val="fr-FR"/>
        </w:rPr>
      </w:pPr>
      <w:r>
        <w:rPr>
          <w:sz w:val="24"/>
          <w:lang w:val="fr-FR"/>
        </w:rPr>
        <w:t>Lot 6 :</w:t>
      </w:r>
      <w:r>
        <w:rPr>
          <w:b w:val="0"/>
          <w:bCs/>
          <w:sz w:val="24"/>
          <w:lang w:val="fr-FR"/>
        </w:rPr>
        <w:t xml:space="preserve"> Entretien et Nettoyage des Locaux de la Cour d'Appel ; Siège et Parquet Général ; </w:t>
      </w:r>
    </w:p>
    <w:p w14:paraId="510B4412" w14:textId="77777777" w:rsidR="00411379" w:rsidRDefault="00411379" w:rsidP="00411379">
      <w:pPr>
        <w:pStyle w:val="Titre"/>
        <w:numPr>
          <w:ilvl w:val="0"/>
          <w:numId w:val="2"/>
        </w:numPr>
        <w:spacing w:line="276" w:lineRule="auto"/>
        <w:jc w:val="left"/>
        <w:rPr>
          <w:bCs/>
          <w:sz w:val="20"/>
          <w:lang w:val="fr-FR"/>
        </w:rPr>
      </w:pPr>
      <w:r>
        <w:rPr>
          <w:sz w:val="24"/>
          <w:lang w:val="fr-FR"/>
        </w:rPr>
        <w:t>Lot 7 :</w:t>
      </w:r>
      <w:r>
        <w:rPr>
          <w:b w:val="0"/>
          <w:bCs/>
          <w:sz w:val="24"/>
          <w:lang w:val="fr-FR"/>
        </w:rPr>
        <w:t xml:space="preserve"> Entretien et Nettoyage des locaux du tribunal de Travail de Bamako.</w:t>
      </w:r>
    </w:p>
    <w:p w14:paraId="383F489F" w14:textId="77777777" w:rsidR="00411379" w:rsidRDefault="00411379" w:rsidP="00411379">
      <w:pPr>
        <w:pStyle w:val="Paragraphedeliste"/>
        <w:spacing w:before="120" w:after="120"/>
        <w:jc w:val="both"/>
        <w:rPr>
          <w:szCs w:val="24"/>
        </w:rPr>
      </w:pPr>
    </w:p>
    <w:p w14:paraId="6ED1CCAF" w14:textId="77777777" w:rsidR="00411379" w:rsidRDefault="00411379" w:rsidP="00411379">
      <w:pPr>
        <w:pStyle w:val="Paragraphedeliste"/>
        <w:numPr>
          <w:ilvl w:val="0"/>
          <w:numId w:val="1"/>
        </w:numPr>
        <w:spacing w:before="120" w:after="120"/>
        <w:jc w:val="both"/>
        <w:rPr>
          <w:szCs w:val="24"/>
        </w:rPr>
      </w:pPr>
      <w:r>
        <w:rPr>
          <w:szCs w:val="24"/>
        </w:rPr>
        <w:t>Le Ministère de la Justice et des Droits de l’Homme sollicite des offres fermées de la part de candidats éligibles et répondant aux qualifications requises pour la prestation des services suivants et annexes </w:t>
      </w:r>
      <w:r>
        <w:rPr>
          <w:color w:val="FF0000"/>
          <w:szCs w:val="24"/>
        </w:rPr>
        <w:t>relatives à l’entretien et Nettoyage des locaux des Tribunaux de Grande Instance des communes I, II, III, IV, V, VI, de la Cour d'Appel, du Parquet General, du Tribunal Administratif de Bamako, du Tribunal de Commerce de Bamako, du tribunal de Travail de Bamako et la Direction Nationale de l’Administration de la Justice en sept (07) lots distincts.</w:t>
      </w:r>
      <w:r>
        <w:rPr>
          <w:szCs w:val="24"/>
        </w:rPr>
        <w:t xml:space="preserve"> </w:t>
      </w:r>
    </w:p>
    <w:p w14:paraId="01A63603" w14:textId="77777777" w:rsidR="00411379" w:rsidRDefault="00411379" w:rsidP="00411379">
      <w:pPr>
        <w:pStyle w:val="Paragraphedeliste"/>
        <w:spacing w:before="120" w:after="120"/>
        <w:jc w:val="both"/>
        <w:rPr>
          <w:szCs w:val="24"/>
        </w:rPr>
      </w:pPr>
    </w:p>
    <w:p w14:paraId="6072BBDF" w14:textId="77777777" w:rsidR="00411379" w:rsidRDefault="00411379" w:rsidP="00411379">
      <w:pPr>
        <w:pStyle w:val="Paragraphedeliste"/>
        <w:numPr>
          <w:ilvl w:val="0"/>
          <w:numId w:val="1"/>
        </w:numPr>
        <w:spacing w:after="160"/>
        <w:jc w:val="both"/>
        <w:rPr>
          <w:szCs w:val="24"/>
        </w:rPr>
      </w:pPr>
      <w:r>
        <w:rPr>
          <w:szCs w:val="24"/>
        </w:rPr>
        <w:t>La passation du Marché sera conduite par Appel d’offres ouvert tel que défini dans le Code des Marchés publics à l’article 50 et ouvert à tous les candidats éligibles.</w:t>
      </w:r>
    </w:p>
    <w:p w14:paraId="2C9E4F5A" w14:textId="77777777" w:rsidR="00411379" w:rsidRDefault="00411379" w:rsidP="00411379">
      <w:pPr>
        <w:pStyle w:val="Paragraphedeliste"/>
        <w:spacing w:after="160"/>
        <w:jc w:val="both"/>
        <w:rPr>
          <w:szCs w:val="24"/>
        </w:rPr>
      </w:pPr>
    </w:p>
    <w:p w14:paraId="5056FFDE" w14:textId="77777777" w:rsidR="00411379" w:rsidRDefault="00411379" w:rsidP="00411379">
      <w:pPr>
        <w:pStyle w:val="Paragraphedeliste"/>
        <w:numPr>
          <w:ilvl w:val="0"/>
          <w:numId w:val="1"/>
        </w:numPr>
        <w:spacing w:after="160" w:line="256" w:lineRule="auto"/>
        <w:jc w:val="both"/>
        <w:rPr>
          <w:szCs w:val="24"/>
        </w:rPr>
      </w:pPr>
      <w:r>
        <w:rPr>
          <w:szCs w:val="24"/>
        </w:rPr>
        <w:lastRenderedPageBreak/>
        <w:t xml:space="preserve">Les candidats intéressés peuvent obtenir des informations auprès de la </w:t>
      </w:r>
      <w:r w:rsidRPr="00411379">
        <w:t xml:space="preserve">Direction des Finances et du Matériel du Ministère de la Justice et des Droits de l’Homme </w:t>
      </w:r>
      <w:r>
        <w:rPr>
          <w:color w:val="FF0000"/>
        </w:rPr>
        <w:t xml:space="preserve">abdoulayecly@live.fr, alou.tangara@yahoo.fr, badridial55@yahoo.fr, </w:t>
      </w:r>
      <w:hyperlink r:id="rId5" w:history="1">
        <w:r>
          <w:rPr>
            <w:rStyle w:val="Lienhypertexte"/>
          </w:rPr>
          <w:t>sekou_konte@yahoo.fr</w:t>
        </w:r>
      </w:hyperlink>
      <w:r>
        <w:rPr>
          <w:color w:val="FF0000"/>
        </w:rPr>
        <w:t xml:space="preserve"> </w:t>
      </w:r>
      <w:r>
        <w:t xml:space="preserve">et prendre connaissance des documents d’Appel d’Offres à l’adresse mentionnée ci-après : </w:t>
      </w:r>
      <w:r w:rsidRPr="00411379">
        <w:t>Cité Administrative, Bâtiment 12, 2</w:t>
      </w:r>
      <w:r w:rsidRPr="00411379">
        <w:rPr>
          <w:vertAlign w:val="superscript"/>
        </w:rPr>
        <w:t>ème</w:t>
      </w:r>
      <w:r w:rsidRPr="00411379">
        <w:t xml:space="preserve"> étage, secrétariat de la DFM du lundi au vendredi de 07 h 30 mn à 16 h 00 mn</w:t>
      </w:r>
      <w:r>
        <w:rPr>
          <w:color w:val="FF0000"/>
        </w:rPr>
        <w:t>.</w:t>
      </w:r>
    </w:p>
    <w:p w14:paraId="34A2CF20" w14:textId="77777777" w:rsidR="00411379" w:rsidRDefault="00411379" w:rsidP="00411379">
      <w:pPr>
        <w:pStyle w:val="Paragraphedeliste"/>
        <w:spacing w:after="160" w:line="256" w:lineRule="auto"/>
        <w:jc w:val="both"/>
        <w:rPr>
          <w:szCs w:val="24"/>
        </w:rPr>
      </w:pPr>
    </w:p>
    <w:p w14:paraId="64F0D28B" w14:textId="77777777" w:rsidR="00411379" w:rsidRDefault="00411379" w:rsidP="00411379">
      <w:pPr>
        <w:pStyle w:val="Paragraphedeliste"/>
        <w:numPr>
          <w:ilvl w:val="0"/>
          <w:numId w:val="1"/>
        </w:numPr>
        <w:spacing w:after="160" w:line="256" w:lineRule="auto"/>
        <w:jc w:val="both"/>
        <w:rPr>
          <w:szCs w:val="24"/>
        </w:rPr>
      </w:pPr>
      <w:r>
        <w:t>Les exigences en matière de qualifications sont : l’expérience, la capacité financière et la capacité technique :</w:t>
      </w:r>
    </w:p>
    <w:p w14:paraId="05CA091F" w14:textId="77777777" w:rsidR="00411379" w:rsidRDefault="00411379" w:rsidP="00411379">
      <w:pPr>
        <w:pStyle w:val="Paragraphedeliste"/>
        <w:rPr>
          <w:szCs w:val="24"/>
        </w:rPr>
      </w:pPr>
    </w:p>
    <w:p w14:paraId="32CCAFF2" w14:textId="77777777" w:rsidR="00411379" w:rsidRDefault="00411379" w:rsidP="00411379">
      <w:pPr>
        <w:ind w:left="540" w:hanging="540"/>
        <w:jc w:val="both"/>
        <w:rPr>
          <w:b/>
          <w:bCs/>
          <w:szCs w:val="24"/>
        </w:rPr>
      </w:pPr>
      <w:r>
        <w:rPr>
          <w:b/>
          <w:bCs/>
          <w:szCs w:val="24"/>
        </w:rPr>
        <w:t>Capacité financière :</w:t>
      </w:r>
    </w:p>
    <w:p w14:paraId="7186ADE7" w14:textId="77777777" w:rsidR="00411379" w:rsidRDefault="00411379" w:rsidP="00411379">
      <w:pPr>
        <w:jc w:val="both"/>
        <w:rPr>
          <w:b/>
          <w:bCs/>
          <w:szCs w:val="24"/>
        </w:rPr>
      </w:pPr>
      <w:r>
        <w:rPr>
          <w:b/>
          <w:bCs/>
          <w:szCs w:val="24"/>
        </w:rPr>
        <w:t>Le Soumissionnaire doit fournir la preuve écrite qu’il satisfait aux exigences ci-après :</w:t>
      </w:r>
    </w:p>
    <w:p w14:paraId="56CA72B3" w14:textId="77777777" w:rsidR="00411379" w:rsidRDefault="00411379" w:rsidP="00411379">
      <w:pPr>
        <w:pStyle w:val="Paragraphedeliste"/>
        <w:numPr>
          <w:ilvl w:val="0"/>
          <w:numId w:val="3"/>
        </w:numPr>
        <w:jc w:val="both"/>
        <w:rPr>
          <w:szCs w:val="24"/>
        </w:rPr>
      </w:pPr>
      <w:r>
        <w:rPr>
          <w:szCs w:val="24"/>
        </w:rPr>
        <w:t xml:space="preserve">Un chiffre d’affaires moyen des années </w:t>
      </w:r>
      <w:r>
        <w:rPr>
          <w:color w:val="FF0000"/>
          <w:szCs w:val="24"/>
        </w:rPr>
        <w:t xml:space="preserve">2017 ; 2018 et 2019 supérieur ou égal au montant de la soumission. </w:t>
      </w:r>
      <w:r w:rsidRPr="00411379">
        <w:rPr>
          <w:szCs w:val="24"/>
        </w:rPr>
        <w:t>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 </w:t>
      </w:r>
      <w:r>
        <w:rPr>
          <w:szCs w:val="24"/>
        </w:rPr>
        <w:t>;</w:t>
      </w:r>
    </w:p>
    <w:p w14:paraId="2F9F1991" w14:textId="77777777" w:rsidR="00411379" w:rsidRDefault="00411379" w:rsidP="00411379">
      <w:pPr>
        <w:pStyle w:val="Paragraphedeliste"/>
        <w:ind w:left="540"/>
        <w:jc w:val="both"/>
        <w:rPr>
          <w:szCs w:val="24"/>
        </w:rPr>
      </w:pPr>
    </w:p>
    <w:p w14:paraId="05A48FAB" w14:textId="77777777" w:rsidR="00411379" w:rsidRDefault="00411379" w:rsidP="00411379">
      <w:pPr>
        <w:pStyle w:val="Paragraphedeliste"/>
        <w:numPr>
          <w:ilvl w:val="0"/>
          <w:numId w:val="3"/>
        </w:numPr>
        <w:jc w:val="both"/>
        <w:rPr>
          <w:szCs w:val="24"/>
        </w:rPr>
      </w:pPr>
      <w:r>
        <w:rPr>
          <w:szCs w:val="24"/>
        </w:rPr>
        <w:t>Une attestation bancaire de disponibilité de fonds ou d’engagement à financer le marché, d’un montant égal au moins à </w:t>
      </w:r>
      <w:r>
        <w:rPr>
          <w:color w:val="FF0000"/>
          <w:szCs w:val="24"/>
        </w:rPr>
        <w:t>son offre</w:t>
      </w:r>
      <w:r>
        <w:rPr>
          <w:szCs w:val="24"/>
        </w:rPr>
        <w:t xml:space="preserve"> </w:t>
      </w:r>
      <w:r>
        <w:rPr>
          <w:color w:val="FF0000"/>
          <w:szCs w:val="24"/>
        </w:rPr>
        <w:t>pour chaque lot </w:t>
      </w:r>
      <w:r>
        <w:rPr>
          <w:szCs w:val="24"/>
        </w:rPr>
        <w:t>;</w:t>
      </w:r>
    </w:p>
    <w:p w14:paraId="15284B3F" w14:textId="77777777" w:rsidR="00411379" w:rsidRDefault="00411379" w:rsidP="00411379">
      <w:pPr>
        <w:pStyle w:val="Paragraphedeliste"/>
        <w:rPr>
          <w:szCs w:val="24"/>
        </w:rPr>
      </w:pPr>
    </w:p>
    <w:p w14:paraId="45DB653C" w14:textId="77777777" w:rsidR="00411379" w:rsidRDefault="00411379" w:rsidP="00411379">
      <w:pPr>
        <w:pStyle w:val="Paragraphedeliste"/>
        <w:numPr>
          <w:ilvl w:val="0"/>
          <w:numId w:val="3"/>
        </w:numPr>
        <w:spacing w:after="200"/>
        <w:jc w:val="both"/>
        <w:rPr>
          <w:szCs w:val="24"/>
        </w:rPr>
      </w:pPr>
      <w:r>
        <w:rPr>
          <w:szCs w:val="24"/>
        </w:rPr>
        <w:t>Pour les sociétés nouvellement créées, une attestation bancaire de disponibilité de fonds ou d’engagement à financer le marché, d’un montant égal au moins à </w:t>
      </w:r>
      <w:r>
        <w:rPr>
          <w:color w:val="FF0000"/>
          <w:szCs w:val="24"/>
        </w:rPr>
        <w:t>son offre</w:t>
      </w:r>
      <w:r>
        <w:rPr>
          <w:szCs w:val="24"/>
        </w:rPr>
        <w:t xml:space="preserve"> </w:t>
      </w:r>
      <w:r>
        <w:rPr>
          <w:color w:val="FF0000"/>
          <w:szCs w:val="24"/>
        </w:rPr>
        <w:t>pour chaque lot ;</w:t>
      </w:r>
    </w:p>
    <w:p w14:paraId="0CC7953A" w14:textId="77777777" w:rsidR="00411379" w:rsidRDefault="00411379" w:rsidP="00411379">
      <w:pPr>
        <w:pStyle w:val="Paragraphedeliste"/>
        <w:spacing w:after="200"/>
        <w:ind w:left="540"/>
        <w:jc w:val="both"/>
        <w:rPr>
          <w:szCs w:val="24"/>
        </w:rPr>
      </w:pPr>
      <w:r>
        <w:rPr>
          <w:szCs w:val="24"/>
        </w:rPr>
        <w:t xml:space="preserve"> </w:t>
      </w:r>
    </w:p>
    <w:p w14:paraId="5FB49129" w14:textId="77777777" w:rsidR="00411379" w:rsidRDefault="00411379" w:rsidP="00411379">
      <w:pPr>
        <w:pStyle w:val="Paragraphedeliste"/>
        <w:numPr>
          <w:ilvl w:val="0"/>
          <w:numId w:val="3"/>
        </w:numPr>
        <w:spacing w:after="200"/>
        <w:jc w:val="both"/>
        <w:rPr>
          <w:szCs w:val="24"/>
        </w:rPr>
      </w:pPr>
      <w:r>
        <w:rPr>
          <w:szCs w:val="24"/>
        </w:rPr>
        <w:t xml:space="preserve">Les bilans des années </w:t>
      </w:r>
      <w:r>
        <w:rPr>
          <w:color w:val="FF0000"/>
          <w:szCs w:val="24"/>
        </w:rPr>
        <w:t xml:space="preserve">2017 ; 2018 et 2019 </w:t>
      </w:r>
      <w:r>
        <w:rPr>
          <w:szCs w:val="24"/>
        </w:rPr>
        <w:t>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p>
    <w:p w14:paraId="2D31A97D" w14:textId="77777777" w:rsidR="00411379" w:rsidRDefault="00411379" w:rsidP="00411379">
      <w:pPr>
        <w:ind w:left="539" w:hanging="540"/>
        <w:jc w:val="both"/>
        <w:rPr>
          <w:b/>
          <w:bCs/>
          <w:szCs w:val="24"/>
        </w:rPr>
      </w:pPr>
      <w:r>
        <w:rPr>
          <w:b/>
          <w:bCs/>
          <w:szCs w:val="24"/>
        </w:rPr>
        <w:t>Capacité technique et expérience</w:t>
      </w:r>
    </w:p>
    <w:p w14:paraId="653FE0D9" w14:textId="77777777" w:rsidR="00411379" w:rsidRDefault="00411379" w:rsidP="00411379">
      <w:pPr>
        <w:pStyle w:val="Corpsdetexte3"/>
        <w:numPr>
          <w:ilvl w:val="0"/>
          <w:numId w:val="4"/>
        </w:numPr>
        <w:suppressAutoHyphens/>
        <w:spacing w:after="0"/>
        <w:jc w:val="both"/>
        <w:rPr>
          <w:color w:val="000000"/>
          <w:sz w:val="24"/>
          <w:szCs w:val="24"/>
        </w:rPr>
      </w:pPr>
      <w:r>
        <w:rPr>
          <w:sz w:val="24"/>
          <w:szCs w:val="24"/>
        </w:rPr>
        <w:t xml:space="preserve">Deux expériences similaires de la période </w:t>
      </w:r>
      <w:r>
        <w:rPr>
          <w:color w:val="FF0000"/>
          <w:sz w:val="24"/>
          <w:szCs w:val="24"/>
        </w:rPr>
        <w:t>2016 à 2020</w:t>
      </w:r>
      <w:r>
        <w:rPr>
          <w:sz w:val="24"/>
          <w:szCs w:val="24"/>
        </w:rPr>
        <w:t xml:space="preserve"> 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 </w:t>
      </w:r>
      <w:r>
        <w:rPr>
          <w:color w:val="000000"/>
          <w:sz w:val="24"/>
          <w:szCs w:val="24"/>
        </w:rPr>
        <w:t>;</w:t>
      </w:r>
    </w:p>
    <w:p w14:paraId="5EA1C6C3" w14:textId="77777777" w:rsidR="00411379" w:rsidRDefault="00411379" w:rsidP="00411379">
      <w:pPr>
        <w:pStyle w:val="Corpsdetexte3"/>
        <w:suppressAutoHyphens/>
        <w:spacing w:after="0"/>
        <w:ind w:left="720"/>
        <w:jc w:val="both"/>
        <w:rPr>
          <w:color w:val="000000"/>
          <w:sz w:val="24"/>
          <w:szCs w:val="24"/>
        </w:rPr>
      </w:pPr>
      <w:r>
        <w:rPr>
          <w:color w:val="000000"/>
          <w:sz w:val="24"/>
          <w:szCs w:val="24"/>
        </w:rPr>
        <w:t xml:space="preserve"> </w:t>
      </w:r>
    </w:p>
    <w:p w14:paraId="7F53102F" w14:textId="77777777" w:rsidR="00411379" w:rsidRDefault="00411379" w:rsidP="00411379">
      <w:pPr>
        <w:pStyle w:val="Corpsdetexte3"/>
        <w:numPr>
          <w:ilvl w:val="0"/>
          <w:numId w:val="4"/>
        </w:numPr>
        <w:suppressAutoHyphens/>
        <w:spacing w:after="0"/>
        <w:jc w:val="both"/>
        <w:rPr>
          <w:color w:val="000000"/>
          <w:sz w:val="24"/>
          <w:szCs w:val="24"/>
        </w:rPr>
      </w:pPr>
      <w:r>
        <w:rPr>
          <w:color w:val="000000"/>
          <w:sz w:val="24"/>
          <w:szCs w:val="24"/>
        </w:rPr>
        <w:t>Fournir le Curriculum vitae signé du personnel d’encadrement et les agents de nettoyages ;</w:t>
      </w:r>
    </w:p>
    <w:p w14:paraId="30A0EA1D" w14:textId="77777777" w:rsidR="00411379" w:rsidRDefault="00411379" w:rsidP="00411379">
      <w:pPr>
        <w:pStyle w:val="Corpsdetexte3"/>
        <w:suppressAutoHyphens/>
        <w:spacing w:after="0"/>
        <w:jc w:val="both"/>
        <w:rPr>
          <w:color w:val="000000"/>
          <w:sz w:val="24"/>
          <w:szCs w:val="24"/>
        </w:rPr>
      </w:pPr>
      <w:r>
        <w:rPr>
          <w:color w:val="000000"/>
          <w:sz w:val="24"/>
          <w:szCs w:val="24"/>
        </w:rPr>
        <w:t xml:space="preserve"> </w:t>
      </w:r>
    </w:p>
    <w:p w14:paraId="28422AEF" w14:textId="77777777" w:rsidR="00411379" w:rsidRDefault="00411379" w:rsidP="00411379">
      <w:pPr>
        <w:pStyle w:val="Corpsdetexte3"/>
        <w:numPr>
          <w:ilvl w:val="0"/>
          <w:numId w:val="4"/>
        </w:numPr>
        <w:suppressAutoHyphens/>
        <w:spacing w:after="0"/>
        <w:jc w:val="both"/>
        <w:rPr>
          <w:color w:val="000000"/>
          <w:sz w:val="24"/>
          <w:szCs w:val="24"/>
        </w:rPr>
      </w:pPr>
      <w:r>
        <w:rPr>
          <w:color w:val="000000"/>
          <w:sz w:val="24"/>
          <w:szCs w:val="24"/>
        </w:rPr>
        <w:t>Les sociétés nouvellement créées qui ne sont pas en mesures de fournir les deux marchés similaires seront évaluées en fonction de l’expérience du personnel d’encadrement et les agents ;</w:t>
      </w:r>
    </w:p>
    <w:p w14:paraId="7F726E06" w14:textId="77777777" w:rsidR="00411379" w:rsidRDefault="00411379" w:rsidP="00411379">
      <w:pPr>
        <w:pStyle w:val="Corpsdetexte3"/>
        <w:suppressAutoHyphens/>
        <w:spacing w:after="0"/>
        <w:jc w:val="both"/>
        <w:rPr>
          <w:color w:val="000000"/>
          <w:sz w:val="24"/>
          <w:szCs w:val="24"/>
        </w:rPr>
      </w:pPr>
      <w:r>
        <w:rPr>
          <w:color w:val="000000"/>
          <w:sz w:val="24"/>
          <w:szCs w:val="24"/>
        </w:rPr>
        <w:t xml:space="preserve">   </w:t>
      </w:r>
    </w:p>
    <w:p w14:paraId="63F3C7ED" w14:textId="77777777" w:rsidR="00411379" w:rsidRDefault="00411379" w:rsidP="00411379">
      <w:pPr>
        <w:pStyle w:val="Corpsdetexte3"/>
        <w:numPr>
          <w:ilvl w:val="0"/>
          <w:numId w:val="4"/>
        </w:numPr>
        <w:suppressAutoHyphens/>
        <w:spacing w:after="0"/>
        <w:jc w:val="both"/>
        <w:rPr>
          <w:b/>
          <w:bCs/>
          <w:color w:val="000000"/>
          <w:sz w:val="24"/>
          <w:szCs w:val="24"/>
        </w:rPr>
      </w:pPr>
      <w:r>
        <w:rPr>
          <w:color w:val="000000"/>
          <w:sz w:val="24"/>
          <w:szCs w:val="24"/>
        </w:rPr>
        <w:t xml:space="preserve">Le Soumissionnaire doit fournir la preuve écrite que les prestations de services courants qu’il propose remplissent la (les) condition(s) d’utilisation suivante : </w:t>
      </w:r>
      <w:r>
        <w:rPr>
          <w:b/>
          <w:bCs/>
          <w:color w:val="000000"/>
          <w:sz w:val="24"/>
          <w:szCs w:val="24"/>
        </w:rPr>
        <w:t>voir le résumé des spécifications techniques contenu dans le dossier</w:t>
      </w:r>
    </w:p>
    <w:p w14:paraId="1A49B0BB" w14:textId="77777777" w:rsidR="00411379" w:rsidRDefault="00411379" w:rsidP="00411379">
      <w:pPr>
        <w:pStyle w:val="Paragraphedeliste"/>
        <w:rPr>
          <w:szCs w:val="24"/>
        </w:rPr>
      </w:pPr>
    </w:p>
    <w:p w14:paraId="180DC36A" w14:textId="6BE2DD94" w:rsidR="00411379" w:rsidRDefault="00411379" w:rsidP="00411379">
      <w:pPr>
        <w:pStyle w:val="Paragraphedeliste"/>
        <w:numPr>
          <w:ilvl w:val="0"/>
          <w:numId w:val="1"/>
        </w:numPr>
        <w:spacing w:after="160" w:line="256" w:lineRule="auto"/>
        <w:jc w:val="both"/>
        <w:rPr>
          <w:szCs w:val="24"/>
        </w:rPr>
      </w:pPr>
      <w:r>
        <w:lastRenderedPageBreak/>
        <w:t xml:space="preserve">Les candidats intéressés peuvent consulter gratuitement le dossier d’Appel d’offres complet ou le retirer à titre onéreux contre paiement d’une somme non remboursable de </w:t>
      </w:r>
      <w:r w:rsidRPr="00411379">
        <w:rPr>
          <w:color w:val="FF0000"/>
        </w:rPr>
        <w:t>Vingt Cinq mille (25 000) F</w:t>
      </w:r>
      <w:r>
        <w:rPr>
          <w:color w:val="FF0000"/>
        </w:rPr>
        <w:t xml:space="preserve"> </w:t>
      </w:r>
      <w:r w:rsidRPr="00411379">
        <w:rPr>
          <w:color w:val="FF0000"/>
        </w:rPr>
        <w:t xml:space="preserve">CFA </w:t>
      </w:r>
      <w:r>
        <w:t xml:space="preserve">à l’adresse mentionnée ci-après : </w:t>
      </w:r>
      <w:r w:rsidRPr="00411379">
        <w:t>Cité Administrative, Bâtiment 12, 2</w:t>
      </w:r>
      <w:r w:rsidRPr="00411379">
        <w:rPr>
          <w:vertAlign w:val="superscript"/>
        </w:rPr>
        <w:t>ème</w:t>
      </w:r>
      <w:r w:rsidRPr="00411379">
        <w:t xml:space="preserve"> étage, secrétariat de la Direction des Finances et du Matériel du Ministère de la Justice et des Droits de l’Homme</w:t>
      </w:r>
      <w:r w:rsidRPr="00411379">
        <w:rPr>
          <w:i/>
          <w:iCs/>
        </w:rPr>
        <w:t>.</w:t>
      </w:r>
      <w:r>
        <w:rPr>
          <w:i/>
          <w:iCs/>
        </w:rPr>
        <w:t xml:space="preserve"> </w:t>
      </w:r>
      <w:r>
        <w:t>La méthode de paiement sera en espèce contre un reçu de vente</w:t>
      </w:r>
      <w:r>
        <w:rPr>
          <w:i/>
          <w:iCs/>
        </w:rPr>
        <w:t>.</w:t>
      </w:r>
      <w:r>
        <w:t xml:space="preserve"> Le Dossier d’Appel d’offres sera adressé par version physique ou électronique</w:t>
      </w:r>
      <w:r>
        <w:rPr>
          <w:i/>
          <w:iCs/>
        </w:rPr>
        <w:t>.</w:t>
      </w:r>
    </w:p>
    <w:p w14:paraId="630E65F0" w14:textId="77777777" w:rsidR="00411379" w:rsidRDefault="00411379" w:rsidP="00411379">
      <w:pPr>
        <w:pStyle w:val="Paragraphedeliste"/>
        <w:spacing w:after="160" w:line="256" w:lineRule="auto"/>
        <w:jc w:val="both"/>
        <w:rPr>
          <w:szCs w:val="24"/>
        </w:rPr>
      </w:pPr>
    </w:p>
    <w:p w14:paraId="3A699D60" w14:textId="2E3F369E" w:rsidR="00411379" w:rsidRDefault="00411379" w:rsidP="00411379">
      <w:pPr>
        <w:pStyle w:val="Paragraphedeliste"/>
        <w:numPr>
          <w:ilvl w:val="0"/>
          <w:numId w:val="1"/>
        </w:numPr>
        <w:spacing w:after="160" w:line="256" w:lineRule="auto"/>
        <w:jc w:val="both"/>
        <w:rPr>
          <w:szCs w:val="20"/>
        </w:rPr>
      </w:pPr>
      <w:r>
        <w:t xml:space="preserve">Les offres devront être soumises à l’adresse ci-après : </w:t>
      </w:r>
      <w:r w:rsidRPr="00411379">
        <w:t>Cité Administrative, Bâtiment 12, 2</w:t>
      </w:r>
      <w:r w:rsidRPr="00411379">
        <w:rPr>
          <w:vertAlign w:val="superscript"/>
        </w:rPr>
        <w:t>ème</w:t>
      </w:r>
      <w:r w:rsidRPr="00411379">
        <w:t xml:space="preserve"> étage, secrétariat de la Direction des Finances et du Matériel du Ministère de la Justice et des Droits de l’Homme</w:t>
      </w:r>
      <w:r>
        <w:t xml:space="preserve"> au plus tard </w:t>
      </w:r>
      <w:r w:rsidRPr="00411379">
        <w:rPr>
          <w:color w:val="FF0000"/>
        </w:rPr>
        <w:t>le vendredi 18 décembre 2020 à 1</w:t>
      </w:r>
      <w:r>
        <w:rPr>
          <w:color w:val="FF0000"/>
        </w:rPr>
        <w:t>1</w:t>
      </w:r>
      <w:r w:rsidRPr="00411379">
        <w:rPr>
          <w:color w:val="FF0000"/>
        </w:rPr>
        <w:t xml:space="preserve"> heures </w:t>
      </w:r>
      <w:r>
        <w:rPr>
          <w:color w:val="FF0000"/>
        </w:rPr>
        <w:t>0</w:t>
      </w:r>
      <w:r w:rsidRPr="00411379">
        <w:rPr>
          <w:color w:val="FF0000"/>
        </w:rPr>
        <w:t>0 mn</w:t>
      </w:r>
      <w:r>
        <w:t>. Les offres remises en retard ne seront pas acceptées.</w:t>
      </w:r>
    </w:p>
    <w:p w14:paraId="00C74904" w14:textId="77777777" w:rsidR="00411379" w:rsidRDefault="00411379" w:rsidP="00411379">
      <w:pPr>
        <w:pStyle w:val="Paragraphedeliste"/>
        <w:spacing w:after="160" w:line="256" w:lineRule="auto"/>
        <w:jc w:val="both"/>
      </w:pPr>
    </w:p>
    <w:p w14:paraId="7848C975" w14:textId="77777777" w:rsidR="00411379" w:rsidRDefault="00411379" w:rsidP="00411379">
      <w:pPr>
        <w:pStyle w:val="Paragraphedeliste"/>
        <w:numPr>
          <w:ilvl w:val="0"/>
          <w:numId w:val="1"/>
        </w:numPr>
        <w:spacing w:after="160" w:line="256" w:lineRule="auto"/>
        <w:jc w:val="both"/>
        <w:rPr>
          <w:szCs w:val="24"/>
        </w:rPr>
      </w:pPr>
      <w:r>
        <w:t xml:space="preserve">Les offres </w:t>
      </w:r>
      <w:r>
        <w:rPr>
          <w:szCs w:val="24"/>
        </w:rPr>
        <w:t xml:space="preserve">doivent comprendre </w:t>
      </w:r>
      <w:r>
        <w:rPr>
          <w:iCs/>
          <w:szCs w:val="24"/>
        </w:rPr>
        <w:t xml:space="preserve">une </w:t>
      </w:r>
      <w:r>
        <w:rPr>
          <w:szCs w:val="24"/>
        </w:rPr>
        <w:t>garantie de soumission par lot d’un montant de :</w:t>
      </w:r>
    </w:p>
    <w:p w14:paraId="1B6597C0" w14:textId="77777777" w:rsidR="00411379" w:rsidRDefault="00411379" w:rsidP="00411379">
      <w:pPr>
        <w:pStyle w:val="Paragraphedeliste"/>
        <w:numPr>
          <w:ilvl w:val="0"/>
          <w:numId w:val="5"/>
        </w:numPr>
        <w:tabs>
          <w:tab w:val="right" w:pos="1418"/>
        </w:tabs>
        <w:spacing w:after="200"/>
        <w:jc w:val="both"/>
        <w:rPr>
          <w:szCs w:val="20"/>
        </w:rPr>
      </w:pPr>
      <w:r>
        <w:rPr>
          <w:color w:val="FF0000"/>
        </w:rPr>
        <w:t>Lot n° 1 : 360 000 F CFA ;</w:t>
      </w:r>
    </w:p>
    <w:p w14:paraId="237B64B6" w14:textId="77777777" w:rsidR="00411379" w:rsidRDefault="00411379" w:rsidP="00411379">
      <w:pPr>
        <w:pStyle w:val="Paragraphedeliste"/>
        <w:numPr>
          <w:ilvl w:val="0"/>
          <w:numId w:val="5"/>
        </w:numPr>
        <w:tabs>
          <w:tab w:val="right" w:pos="1418"/>
        </w:tabs>
        <w:spacing w:after="200"/>
        <w:jc w:val="both"/>
      </w:pPr>
      <w:r>
        <w:rPr>
          <w:color w:val="FF0000"/>
        </w:rPr>
        <w:t>Lot n° 2 : 450 000 F CFA ;</w:t>
      </w:r>
    </w:p>
    <w:p w14:paraId="4FD36A4A" w14:textId="77777777" w:rsidR="00411379" w:rsidRDefault="00411379" w:rsidP="00411379">
      <w:pPr>
        <w:pStyle w:val="Paragraphedeliste"/>
        <w:numPr>
          <w:ilvl w:val="0"/>
          <w:numId w:val="5"/>
        </w:numPr>
        <w:tabs>
          <w:tab w:val="right" w:pos="1418"/>
        </w:tabs>
        <w:spacing w:after="200"/>
        <w:jc w:val="both"/>
      </w:pPr>
      <w:r>
        <w:rPr>
          <w:color w:val="FF0000"/>
        </w:rPr>
        <w:t>Lot n° 3 : 400 000 F CFA ;</w:t>
      </w:r>
    </w:p>
    <w:p w14:paraId="7CA1805B" w14:textId="77777777" w:rsidR="00411379" w:rsidRDefault="00411379" w:rsidP="00411379">
      <w:pPr>
        <w:pStyle w:val="Paragraphedeliste"/>
        <w:numPr>
          <w:ilvl w:val="0"/>
          <w:numId w:val="5"/>
        </w:numPr>
        <w:tabs>
          <w:tab w:val="right" w:pos="1418"/>
        </w:tabs>
        <w:spacing w:after="200"/>
        <w:jc w:val="both"/>
      </w:pPr>
      <w:r>
        <w:rPr>
          <w:color w:val="FF0000"/>
        </w:rPr>
        <w:t>Lot n° 4 : 480 000 F CFA ;</w:t>
      </w:r>
    </w:p>
    <w:p w14:paraId="5AC61D57" w14:textId="77777777" w:rsidR="00411379" w:rsidRDefault="00411379" w:rsidP="00411379">
      <w:pPr>
        <w:pStyle w:val="Paragraphedeliste"/>
        <w:numPr>
          <w:ilvl w:val="0"/>
          <w:numId w:val="5"/>
        </w:numPr>
        <w:tabs>
          <w:tab w:val="right" w:pos="1418"/>
        </w:tabs>
        <w:spacing w:after="200"/>
        <w:jc w:val="both"/>
      </w:pPr>
      <w:r>
        <w:rPr>
          <w:color w:val="FF0000"/>
        </w:rPr>
        <w:t>Lot n° 5 : 330 000 F CFA ;</w:t>
      </w:r>
    </w:p>
    <w:p w14:paraId="7D607D3A" w14:textId="77777777" w:rsidR="00411379" w:rsidRDefault="00411379" w:rsidP="00411379">
      <w:pPr>
        <w:pStyle w:val="Paragraphedeliste"/>
        <w:numPr>
          <w:ilvl w:val="0"/>
          <w:numId w:val="5"/>
        </w:numPr>
        <w:tabs>
          <w:tab w:val="right" w:pos="1418"/>
        </w:tabs>
        <w:spacing w:after="200"/>
        <w:jc w:val="both"/>
      </w:pPr>
      <w:r>
        <w:rPr>
          <w:color w:val="FF0000"/>
        </w:rPr>
        <w:t>Lot n° 6 : 487 000 F CFA ;</w:t>
      </w:r>
    </w:p>
    <w:p w14:paraId="79B1061D" w14:textId="77777777" w:rsidR="00411379" w:rsidRDefault="00411379" w:rsidP="00411379">
      <w:pPr>
        <w:pStyle w:val="Paragraphedeliste"/>
        <w:numPr>
          <w:ilvl w:val="0"/>
          <w:numId w:val="5"/>
        </w:numPr>
        <w:tabs>
          <w:tab w:val="right" w:pos="1418"/>
        </w:tabs>
        <w:spacing w:after="200"/>
        <w:jc w:val="both"/>
      </w:pPr>
      <w:r>
        <w:rPr>
          <w:color w:val="FF0000"/>
        </w:rPr>
        <w:t>Lot n° 7 : 185 000 F CFA.</w:t>
      </w:r>
    </w:p>
    <w:p w14:paraId="1744840B" w14:textId="77777777" w:rsidR="00411379" w:rsidRDefault="00411379" w:rsidP="00411379">
      <w:pPr>
        <w:pStyle w:val="Paragraphedeliste"/>
        <w:spacing w:after="160" w:line="256" w:lineRule="auto"/>
        <w:jc w:val="both"/>
        <w:rPr>
          <w:szCs w:val="24"/>
        </w:rPr>
      </w:pPr>
      <w:r>
        <w:rPr>
          <w:szCs w:val="24"/>
        </w:rPr>
        <w:t xml:space="preserve">Conformément à l’article 69 du Code des marchés publics. </w:t>
      </w:r>
    </w:p>
    <w:p w14:paraId="3A8A5710" w14:textId="77777777" w:rsidR="00411379" w:rsidRDefault="00411379" w:rsidP="00411379">
      <w:pPr>
        <w:pStyle w:val="Paragraphedeliste"/>
        <w:spacing w:after="160" w:line="256" w:lineRule="auto"/>
        <w:ind w:left="0"/>
        <w:jc w:val="both"/>
        <w:rPr>
          <w:szCs w:val="24"/>
        </w:rPr>
      </w:pPr>
    </w:p>
    <w:p w14:paraId="683ADC13" w14:textId="77777777" w:rsidR="00411379" w:rsidRDefault="00411379" w:rsidP="00411379">
      <w:pPr>
        <w:pStyle w:val="Paragraphedeliste"/>
        <w:numPr>
          <w:ilvl w:val="0"/>
          <w:numId w:val="1"/>
        </w:numPr>
        <w:spacing w:after="160" w:line="256" w:lineRule="auto"/>
        <w:jc w:val="both"/>
        <w:rPr>
          <w:szCs w:val="24"/>
        </w:rPr>
      </w:pPr>
      <w:r>
        <w:t>Les Soumissionnaires resteront engagés par leur offre pendant une période de quatre-vingt-dix jours (90) à compter de la date limite du dépôt des offres comme spécifié au point 19.1 des Instructions aux candidats (IC) et aux Données particulières du Dossier d’appel d’offres (</w:t>
      </w:r>
      <w:r>
        <w:rPr>
          <w:b/>
          <w:szCs w:val="24"/>
        </w:rPr>
        <w:t>DPAO)</w:t>
      </w:r>
      <w:r>
        <w:t>.</w:t>
      </w:r>
    </w:p>
    <w:p w14:paraId="3519A7E2" w14:textId="4A2E447B" w:rsidR="00411379" w:rsidRPr="00411379" w:rsidRDefault="00411379" w:rsidP="00411379">
      <w:pPr>
        <w:numPr>
          <w:ilvl w:val="0"/>
          <w:numId w:val="1"/>
        </w:numPr>
        <w:suppressAutoHyphens/>
        <w:autoSpaceDN w:val="0"/>
        <w:jc w:val="both"/>
        <w:rPr>
          <w:sz w:val="20"/>
        </w:rPr>
      </w:pPr>
      <w:r>
        <w:t xml:space="preserve">Les offres seront ouvertes en présence des représentants des soumissionnaires qui souhaitent assister à l’ouverture des plis </w:t>
      </w:r>
      <w:r w:rsidRPr="00411379">
        <w:rPr>
          <w:color w:val="FF0000"/>
        </w:rPr>
        <w:t>le vendredi 18 décembre 2020 à 1</w:t>
      </w:r>
      <w:r>
        <w:rPr>
          <w:color w:val="FF0000"/>
        </w:rPr>
        <w:t>1</w:t>
      </w:r>
      <w:r w:rsidRPr="00411379">
        <w:rPr>
          <w:color w:val="FF0000"/>
        </w:rPr>
        <w:t xml:space="preserve"> heures </w:t>
      </w:r>
      <w:r>
        <w:rPr>
          <w:color w:val="FF0000"/>
        </w:rPr>
        <w:t>0</w:t>
      </w:r>
      <w:r w:rsidRPr="00411379">
        <w:rPr>
          <w:color w:val="FF0000"/>
        </w:rPr>
        <w:t>0 mn</w:t>
      </w:r>
      <w:r>
        <w:t xml:space="preserve"> à l’adresse suivante : </w:t>
      </w:r>
      <w:r w:rsidRPr="00411379">
        <w:t>Cité Administrative, Bâtiment 12, 2</w:t>
      </w:r>
      <w:r w:rsidRPr="00411379">
        <w:rPr>
          <w:vertAlign w:val="superscript"/>
        </w:rPr>
        <w:t>ème</w:t>
      </w:r>
      <w:r w:rsidRPr="00411379">
        <w:t xml:space="preserve"> étage, salle de conférence de la Direction des Finances et du Matériel du Ministère de la Justice et des Droits de l’Homme</w:t>
      </w:r>
    </w:p>
    <w:p w14:paraId="344A60EB" w14:textId="3EF2BC08" w:rsidR="00411379" w:rsidRDefault="00411379" w:rsidP="00411379">
      <w:pPr>
        <w:spacing w:line="276" w:lineRule="auto"/>
        <w:jc w:val="both"/>
        <w:rPr>
          <w:b/>
        </w:rPr>
      </w:pPr>
      <w:r>
        <w:rPr>
          <w:b/>
          <w:szCs w:val="24"/>
        </w:rPr>
        <w:t xml:space="preserve">                                                                                        </w:t>
      </w:r>
      <w:r w:rsidR="00751919">
        <w:rPr>
          <w:b/>
          <w:szCs w:val="24"/>
        </w:rPr>
        <w:t xml:space="preserve">    </w:t>
      </w:r>
      <w:r>
        <w:rPr>
          <w:b/>
          <w:szCs w:val="24"/>
        </w:rPr>
        <w:t xml:space="preserve">  Bamako, le</w:t>
      </w:r>
    </w:p>
    <w:p w14:paraId="2474ECB7" w14:textId="673FEDA8" w:rsidR="00411379" w:rsidRDefault="00751919" w:rsidP="00411379">
      <w:pPr>
        <w:spacing w:line="276" w:lineRule="auto"/>
        <w:ind w:left="4956" w:firstLine="708"/>
        <w:jc w:val="both"/>
      </w:pPr>
      <w:r>
        <w:rPr>
          <w:szCs w:val="24"/>
        </w:rPr>
        <w:t>P</w:t>
      </w:r>
      <w:r w:rsidR="00411379">
        <w:rPr>
          <w:szCs w:val="24"/>
        </w:rPr>
        <w:t>our le Ministre et par ordre</w:t>
      </w:r>
    </w:p>
    <w:p w14:paraId="34A9FE0D" w14:textId="77777777" w:rsidR="00411379" w:rsidRDefault="00411379" w:rsidP="00411379">
      <w:pPr>
        <w:spacing w:line="276" w:lineRule="auto"/>
        <w:ind w:left="5664"/>
        <w:jc w:val="both"/>
      </w:pPr>
      <w:r>
        <w:rPr>
          <w:szCs w:val="24"/>
        </w:rPr>
        <w:t>Le Secrétaire Général,</w:t>
      </w:r>
    </w:p>
    <w:p w14:paraId="7883FCD4" w14:textId="77777777" w:rsidR="00411379" w:rsidRDefault="00411379" w:rsidP="00411379">
      <w:pPr>
        <w:spacing w:line="276" w:lineRule="auto"/>
        <w:jc w:val="both"/>
      </w:pPr>
    </w:p>
    <w:p w14:paraId="7A87557C" w14:textId="77777777" w:rsidR="00411379" w:rsidRDefault="00411379" w:rsidP="00411379">
      <w:pPr>
        <w:spacing w:line="276" w:lineRule="auto"/>
        <w:jc w:val="both"/>
      </w:pPr>
    </w:p>
    <w:p w14:paraId="34E77BA5" w14:textId="77777777" w:rsidR="00411379" w:rsidRDefault="00411379" w:rsidP="00411379">
      <w:pPr>
        <w:spacing w:line="276" w:lineRule="auto"/>
        <w:jc w:val="both"/>
      </w:pPr>
    </w:p>
    <w:p w14:paraId="2F7F3DB0" w14:textId="42BD3E92" w:rsidR="00411379" w:rsidRDefault="00751919" w:rsidP="00411379">
      <w:pPr>
        <w:spacing w:line="276" w:lineRule="auto"/>
        <w:ind w:left="5664"/>
        <w:jc w:val="both"/>
        <w:rPr>
          <w:u w:val="single"/>
        </w:rPr>
      </w:pPr>
      <w:r>
        <w:rPr>
          <w:b/>
          <w:sz w:val="28"/>
          <w:u w:val="single"/>
        </w:rPr>
        <w:t xml:space="preserve">M. </w:t>
      </w:r>
      <w:proofErr w:type="spellStart"/>
      <w:r w:rsidR="00411379">
        <w:rPr>
          <w:b/>
          <w:sz w:val="28"/>
          <w:u w:val="single"/>
        </w:rPr>
        <w:t>Sombé</w:t>
      </w:r>
      <w:proofErr w:type="spellEnd"/>
      <w:r w:rsidR="00411379">
        <w:rPr>
          <w:b/>
          <w:sz w:val="28"/>
          <w:u w:val="single"/>
        </w:rPr>
        <w:t xml:space="preserve"> THERA</w:t>
      </w:r>
    </w:p>
    <w:p w14:paraId="3F6E4D1F" w14:textId="6D8E3ECB" w:rsidR="00411379" w:rsidRDefault="00411379" w:rsidP="00411379">
      <w:pPr>
        <w:pStyle w:val="Paragraphedeliste"/>
        <w:spacing w:line="360" w:lineRule="auto"/>
        <w:outlineLvl w:val="1"/>
        <w:rPr>
          <w:sz w:val="20"/>
          <w:szCs w:val="18"/>
        </w:rPr>
      </w:pPr>
      <w:r>
        <w:rPr>
          <w:sz w:val="20"/>
          <w:szCs w:val="18"/>
        </w:rPr>
        <w:t xml:space="preserve">                                                                                        </w:t>
      </w:r>
      <w:r w:rsidR="00751919">
        <w:rPr>
          <w:sz w:val="20"/>
          <w:szCs w:val="18"/>
        </w:rPr>
        <w:t xml:space="preserve">     </w:t>
      </w:r>
      <w:r>
        <w:rPr>
          <w:sz w:val="20"/>
          <w:szCs w:val="18"/>
        </w:rPr>
        <w:t xml:space="preserve">       Officier de l’Ordre National</w:t>
      </w:r>
    </w:p>
    <w:p w14:paraId="310A20A3" w14:textId="77777777" w:rsidR="006533BF" w:rsidRDefault="009B535B"/>
    <w:sectPr w:rsidR="00653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0053"/>
    <w:multiLevelType w:val="hybridMultilevel"/>
    <w:tmpl w:val="9988965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06BE652F"/>
    <w:multiLevelType w:val="hybridMultilevel"/>
    <w:tmpl w:val="17068D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5D0964C7"/>
    <w:multiLevelType w:val="hybridMultilevel"/>
    <w:tmpl w:val="78BAE3F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B0C0B01"/>
    <w:multiLevelType w:val="hybridMultilevel"/>
    <w:tmpl w:val="82C8C1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C6D5150"/>
    <w:multiLevelType w:val="hybridMultilevel"/>
    <w:tmpl w:val="AC4EA66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79"/>
    <w:rsid w:val="00411379"/>
    <w:rsid w:val="00751919"/>
    <w:rsid w:val="009B535B"/>
    <w:rsid w:val="00C920AA"/>
    <w:rsid w:val="00D23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16FE"/>
  <w15:chartTrackingRefBased/>
  <w15:docId w15:val="{B82B52C3-B6E5-4871-ABE1-D108627C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79"/>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411379"/>
    <w:rPr>
      <w:rFonts w:ascii="Times New Roman" w:hAnsi="Times New Roman" w:cs="Times New Roman" w:hint="default"/>
      <w:color w:val="0000FF"/>
      <w:u w:val="single"/>
    </w:rPr>
  </w:style>
  <w:style w:type="paragraph" w:styleId="Titre">
    <w:name w:val="Title"/>
    <w:basedOn w:val="Normal"/>
    <w:link w:val="TitreCar"/>
    <w:uiPriority w:val="99"/>
    <w:qFormat/>
    <w:rsid w:val="00411379"/>
    <w:pPr>
      <w:jc w:val="center"/>
    </w:pPr>
    <w:rPr>
      <w:b/>
      <w:sz w:val="48"/>
      <w:lang w:val="es-ES_tradnl"/>
    </w:rPr>
  </w:style>
  <w:style w:type="character" w:customStyle="1" w:styleId="TitreCar">
    <w:name w:val="Titre Car"/>
    <w:basedOn w:val="Policepardfaut"/>
    <w:link w:val="Titre"/>
    <w:uiPriority w:val="99"/>
    <w:rsid w:val="00411379"/>
    <w:rPr>
      <w:rFonts w:ascii="Times New Roman" w:eastAsia="Times New Roman" w:hAnsi="Times New Roman" w:cs="Times New Roman"/>
      <w:b/>
      <w:sz w:val="48"/>
      <w:szCs w:val="20"/>
      <w:lang w:val="es-ES_tradnl" w:eastAsia="fr-FR"/>
    </w:rPr>
  </w:style>
  <w:style w:type="paragraph" w:styleId="Corpsdetexte3">
    <w:name w:val="Body Text 3"/>
    <w:basedOn w:val="Normal"/>
    <w:link w:val="Corpsdetexte3Car"/>
    <w:uiPriority w:val="99"/>
    <w:semiHidden/>
    <w:unhideWhenUsed/>
    <w:rsid w:val="00411379"/>
    <w:pPr>
      <w:spacing w:after="120"/>
    </w:pPr>
    <w:rPr>
      <w:sz w:val="16"/>
      <w:szCs w:val="16"/>
    </w:rPr>
  </w:style>
  <w:style w:type="character" w:customStyle="1" w:styleId="Corpsdetexte3Car">
    <w:name w:val="Corps de texte 3 Car"/>
    <w:basedOn w:val="Policepardfaut"/>
    <w:link w:val="Corpsdetexte3"/>
    <w:uiPriority w:val="99"/>
    <w:semiHidden/>
    <w:rsid w:val="00411379"/>
    <w:rPr>
      <w:rFonts w:ascii="Times New Roman" w:eastAsia="Times New Roman" w:hAnsi="Times New Roman" w:cs="Times New Roman"/>
      <w:sz w:val="16"/>
      <w:szCs w:val="16"/>
      <w:lang w:eastAsia="fr-FR"/>
    </w:rPr>
  </w:style>
  <w:style w:type="character" w:customStyle="1" w:styleId="ParagraphedelisteCar">
    <w:name w:val="Paragraphe de liste Car"/>
    <w:link w:val="Paragraphedeliste"/>
    <w:locked/>
    <w:rsid w:val="00411379"/>
    <w:rPr>
      <w:rFonts w:ascii="Times New Roman" w:eastAsia="Times New Roman" w:hAnsi="Times New Roman" w:cs="Times New Roman"/>
      <w:sz w:val="24"/>
    </w:rPr>
  </w:style>
  <w:style w:type="paragraph" w:styleId="Paragraphedeliste">
    <w:name w:val="List Paragraph"/>
    <w:basedOn w:val="Normal"/>
    <w:link w:val="ParagraphedelisteCar"/>
    <w:qFormat/>
    <w:rsid w:val="00411379"/>
    <w:pPr>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ou_konte@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1159</Words>
  <Characters>6377</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2020-11-26T12:03:00Z</dcterms:created>
  <dcterms:modified xsi:type="dcterms:W3CDTF">2020-11-27T14:44:00Z</dcterms:modified>
</cp:coreProperties>
</file>