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56E" w:rsidRDefault="0063556E" w:rsidP="0063556E">
      <w:pPr>
        <w:pStyle w:val="Titre2"/>
        <w:pBdr>
          <w:bar w:val="single" w:sz="4" w:color="auto"/>
        </w:pBdr>
        <w:rPr>
          <w:rFonts w:ascii="Footlight MT Light" w:hAnsi="Footlight MT Light"/>
          <w:caps/>
          <w:sz w:val="24"/>
          <w:szCs w:val="24"/>
        </w:rPr>
      </w:pPr>
      <w:r w:rsidRPr="005C406B">
        <w:rPr>
          <w:rFonts w:ascii="Footlight MT Light" w:hAnsi="Footlight MT Light"/>
          <w:caps/>
          <w:sz w:val="24"/>
          <w:szCs w:val="24"/>
        </w:rPr>
        <w:t xml:space="preserve">Ministère de la Santé </w:t>
      </w:r>
      <w:r w:rsidR="00AE1C7A">
        <w:rPr>
          <w:rFonts w:ascii="Footlight MT Light" w:hAnsi="Footlight MT Light"/>
          <w:caps/>
          <w:sz w:val="24"/>
          <w:szCs w:val="24"/>
        </w:rPr>
        <w:t>ET</w:t>
      </w:r>
      <w:r w:rsidRPr="005C406B">
        <w:rPr>
          <w:rFonts w:ascii="Footlight MT Light" w:hAnsi="Footlight MT Light"/>
          <w:caps/>
          <w:sz w:val="24"/>
          <w:szCs w:val="24"/>
        </w:rPr>
        <w:t xml:space="preserve">                                 </w:t>
      </w:r>
      <w:r>
        <w:rPr>
          <w:rFonts w:ascii="Footlight MT Light" w:hAnsi="Footlight MT Light"/>
          <w:caps/>
          <w:sz w:val="24"/>
          <w:szCs w:val="24"/>
        </w:rPr>
        <w:t xml:space="preserve">               </w:t>
      </w:r>
      <w:r w:rsidR="009842EA">
        <w:rPr>
          <w:rFonts w:ascii="Footlight MT Light" w:hAnsi="Footlight MT Light"/>
          <w:caps/>
          <w:sz w:val="24"/>
          <w:szCs w:val="24"/>
        </w:rPr>
        <w:t xml:space="preserve"> </w:t>
      </w:r>
      <w:r>
        <w:rPr>
          <w:rFonts w:ascii="Footlight MT Light" w:hAnsi="Footlight MT Light"/>
          <w:caps/>
          <w:sz w:val="24"/>
          <w:szCs w:val="24"/>
        </w:rPr>
        <w:t xml:space="preserve"> </w:t>
      </w:r>
      <w:r w:rsidRPr="005C406B">
        <w:rPr>
          <w:rFonts w:ascii="Footlight MT Light" w:hAnsi="Footlight MT Light"/>
          <w:caps/>
          <w:sz w:val="24"/>
          <w:szCs w:val="24"/>
        </w:rPr>
        <w:t xml:space="preserve">république du mali    </w:t>
      </w:r>
    </w:p>
    <w:p w:rsidR="0063556E" w:rsidRPr="005C406B" w:rsidRDefault="00AE1C7A" w:rsidP="0063556E">
      <w:pPr>
        <w:pStyle w:val="Titre2"/>
        <w:pBdr>
          <w:bar w:val="single" w:sz="4" w:color="auto"/>
        </w:pBdr>
        <w:rPr>
          <w:rFonts w:ascii="Footlight MT Light" w:hAnsi="Footlight MT Light"/>
          <w:caps/>
          <w:sz w:val="24"/>
          <w:szCs w:val="24"/>
        </w:rPr>
      </w:pPr>
      <w:r>
        <w:rPr>
          <w:rFonts w:ascii="Footlight MT Light" w:hAnsi="Footlight MT Light"/>
          <w:caps/>
          <w:sz w:val="24"/>
          <w:szCs w:val="24"/>
        </w:rPr>
        <w:t>DU DEVELOPPEMENT SOCIAL</w:t>
      </w:r>
      <w:r w:rsidR="0063556E" w:rsidRPr="005C406B">
        <w:rPr>
          <w:rFonts w:ascii="Footlight MT Light" w:hAnsi="Footlight MT Light"/>
          <w:caps/>
          <w:sz w:val="24"/>
          <w:szCs w:val="24"/>
        </w:rPr>
        <w:t xml:space="preserve">     </w:t>
      </w:r>
      <w:r w:rsidR="0063556E">
        <w:rPr>
          <w:rFonts w:ascii="Footlight MT Light" w:hAnsi="Footlight MT Light"/>
          <w:caps/>
          <w:sz w:val="24"/>
          <w:szCs w:val="24"/>
        </w:rPr>
        <w:t xml:space="preserve">                                                </w:t>
      </w:r>
      <w:r w:rsidR="0063556E" w:rsidRPr="005C406B">
        <w:rPr>
          <w:rFonts w:ascii="Footlight MT Light" w:hAnsi="Footlight MT Light"/>
          <w:caps/>
          <w:sz w:val="24"/>
          <w:szCs w:val="24"/>
        </w:rPr>
        <w:t xml:space="preserve"> </w:t>
      </w:r>
      <w:r w:rsidR="0063556E" w:rsidRPr="005C406B">
        <w:rPr>
          <w:rFonts w:ascii="Footlight MT Light" w:hAnsi="Footlight MT Light"/>
          <w:sz w:val="24"/>
          <w:szCs w:val="24"/>
        </w:rPr>
        <w:t xml:space="preserve">--------------- </w:t>
      </w:r>
      <w:r w:rsidR="0063556E" w:rsidRPr="005C406B">
        <w:rPr>
          <w:rFonts w:ascii="Footlight MT Light" w:hAnsi="Footlight MT Light"/>
          <w:caps/>
          <w:sz w:val="24"/>
          <w:szCs w:val="24"/>
        </w:rPr>
        <w:t xml:space="preserve">                                    </w:t>
      </w:r>
    </w:p>
    <w:p w:rsidR="0063556E" w:rsidRPr="005C406B" w:rsidRDefault="0063556E" w:rsidP="0063556E">
      <w:pPr>
        <w:pStyle w:val="Titre2"/>
        <w:pBdr>
          <w:bar w:val="single" w:sz="4" w:color="auto"/>
        </w:pBdr>
        <w:rPr>
          <w:rFonts w:ascii="Footlight MT Light" w:hAnsi="Footlight MT Light"/>
          <w:sz w:val="24"/>
          <w:szCs w:val="24"/>
        </w:rPr>
      </w:pPr>
      <w:r w:rsidRPr="005C406B">
        <w:rPr>
          <w:rFonts w:ascii="Footlight MT Light" w:hAnsi="Footlight MT Light"/>
          <w:sz w:val="24"/>
          <w:szCs w:val="24"/>
        </w:rPr>
        <w:t xml:space="preserve">         ----------------                   </w:t>
      </w:r>
      <w:r>
        <w:rPr>
          <w:rFonts w:ascii="Footlight MT Light" w:hAnsi="Footlight MT Light"/>
          <w:sz w:val="24"/>
          <w:szCs w:val="24"/>
        </w:rPr>
        <w:t xml:space="preserve">                                    </w:t>
      </w:r>
      <w:r w:rsidR="00AE1C7A">
        <w:rPr>
          <w:rFonts w:ascii="Footlight MT Light" w:hAnsi="Footlight MT Light"/>
          <w:sz w:val="24"/>
          <w:szCs w:val="24"/>
        </w:rPr>
        <w:t xml:space="preserve"> </w:t>
      </w:r>
      <w:r>
        <w:rPr>
          <w:rFonts w:ascii="Monotype Corsiva" w:hAnsi="Monotype Corsiva"/>
          <w:sz w:val="24"/>
          <w:szCs w:val="24"/>
        </w:rPr>
        <w:t>U</w:t>
      </w:r>
      <w:r w:rsidRPr="003745BD">
        <w:rPr>
          <w:rFonts w:ascii="Monotype Corsiva" w:hAnsi="Monotype Corsiva"/>
          <w:sz w:val="24"/>
          <w:szCs w:val="24"/>
        </w:rPr>
        <w:t xml:space="preserve">n </w:t>
      </w:r>
      <w:r>
        <w:rPr>
          <w:rFonts w:ascii="Monotype Corsiva" w:hAnsi="Monotype Corsiva"/>
          <w:sz w:val="24"/>
          <w:szCs w:val="24"/>
        </w:rPr>
        <w:t>P</w:t>
      </w:r>
      <w:r w:rsidRPr="003745BD">
        <w:rPr>
          <w:rFonts w:ascii="Monotype Corsiva" w:hAnsi="Monotype Corsiva"/>
          <w:sz w:val="24"/>
          <w:szCs w:val="24"/>
        </w:rPr>
        <w:t>euple</w:t>
      </w:r>
      <w:r w:rsidR="00930FBB">
        <w:rPr>
          <w:rFonts w:ascii="Monotype Corsiva" w:hAnsi="Monotype Corsiva"/>
          <w:sz w:val="24"/>
          <w:szCs w:val="24"/>
        </w:rPr>
        <w:t xml:space="preserve">  </w:t>
      </w:r>
      <w:r w:rsidR="00930FBB">
        <w:rPr>
          <w:rFonts w:ascii="Monotype Corsiva" w:hAnsi="Monotype Corsiva"/>
          <w:sz w:val="24"/>
          <w:szCs w:val="24"/>
        </w:rPr>
        <w:t xml:space="preserve">– </w:t>
      </w:r>
      <w:r>
        <w:rPr>
          <w:rFonts w:ascii="Monotype Corsiva" w:hAnsi="Monotype Corsiva"/>
          <w:sz w:val="24"/>
          <w:szCs w:val="24"/>
        </w:rPr>
        <w:t>Un But</w:t>
      </w:r>
      <w:r w:rsidR="00930FBB">
        <w:rPr>
          <w:rFonts w:ascii="Monotype Corsiva" w:hAnsi="Monotype Corsiva"/>
          <w:sz w:val="24"/>
          <w:szCs w:val="24"/>
        </w:rPr>
        <w:t xml:space="preserve"> – </w:t>
      </w:r>
      <w:r>
        <w:rPr>
          <w:rFonts w:ascii="Monotype Corsiva" w:hAnsi="Monotype Corsiva"/>
          <w:sz w:val="24"/>
          <w:szCs w:val="24"/>
        </w:rPr>
        <w:t>U</w:t>
      </w:r>
      <w:r w:rsidRPr="003745BD">
        <w:rPr>
          <w:rFonts w:ascii="Monotype Corsiva" w:hAnsi="Monotype Corsiva"/>
          <w:sz w:val="24"/>
          <w:szCs w:val="24"/>
        </w:rPr>
        <w:t>ne</w:t>
      </w:r>
      <w:r w:rsidR="00930FBB">
        <w:rPr>
          <w:rFonts w:ascii="Monotype Corsiva" w:hAnsi="Monotype Corsiva"/>
          <w:sz w:val="24"/>
          <w:szCs w:val="24"/>
        </w:rPr>
        <w:t xml:space="preserve"> </w:t>
      </w:r>
      <w:r>
        <w:rPr>
          <w:rFonts w:ascii="Monotype Corsiva" w:hAnsi="Monotype Corsiva"/>
          <w:sz w:val="24"/>
          <w:szCs w:val="24"/>
        </w:rPr>
        <w:t>F</w:t>
      </w:r>
      <w:r w:rsidRPr="003745BD">
        <w:rPr>
          <w:rFonts w:ascii="Monotype Corsiva" w:hAnsi="Monotype Corsiva"/>
          <w:sz w:val="24"/>
          <w:szCs w:val="24"/>
        </w:rPr>
        <w:t xml:space="preserve">oi                                                                                                                                                  </w:t>
      </w:r>
    </w:p>
    <w:p w:rsidR="0063556E" w:rsidRPr="005C406B" w:rsidRDefault="0063556E" w:rsidP="0063556E">
      <w:pPr>
        <w:pStyle w:val="Titre3"/>
        <w:pBdr>
          <w:bar w:val="single" w:sz="4" w:color="auto"/>
        </w:pBdr>
        <w:rPr>
          <w:rFonts w:ascii="Footlight MT Light" w:hAnsi="Footlight MT Light"/>
          <w:sz w:val="24"/>
          <w:szCs w:val="24"/>
        </w:rPr>
      </w:pPr>
      <w:r w:rsidRPr="005C406B">
        <w:rPr>
          <w:rFonts w:ascii="Footlight MT Light" w:hAnsi="Footlight MT Light"/>
          <w:sz w:val="24"/>
          <w:szCs w:val="24"/>
        </w:rPr>
        <w:t xml:space="preserve">Direction des Finances                        </w:t>
      </w:r>
      <w:r>
        <w:rPr>
          <w:rFonts w:ascii="Footlight MT Light" w:hAnsi="Footlight MT Light"/>
          <w:sz w:val="24"/>
          <w:szCs w:val="24"/>
        </w:rPr>
        <w:t xml:space="preserve">                   </w:t>
      </w:r>
    </w:p>
    <w:p w:rsidR="0063556E" w:rsidRPr="005C406B" w:rsidRDefault="0063556E" w:rsidP="0063556E">
      <w:pPr>
        <w:pBdr>
          <w:bar w:val="single" w:sz="4" w:color="auto"/>
        </w:pBdr>
        <w:tabs>
          <w:tab w:val="right" w:pos="8312"/>
        </w:tabs>
        <w:rPr>
          <w:rFonts w:ascii="Footlight MT Light" w:hAnsi="Footlight MT Light"/>
          <w:b/>
          <w:caps/>
        </w:rPr>
      </w:pPr>
      <w:r w:rsidRPr="005C406B">
        <w:rPr>
          <w:rFonts w:ascii="Footlight MT Light" w:hAnsi="Footlight MT Light"/>
          <w:b/>
          <w:caps/>
        </w:rPr>
        <w:t xml:space="preserve">       et du materiel</w:t>
      </w:r>
    </w:p>
    <w:p w:rsidR="0063556E" w:rsidRPr="003457AB" w:rsidRDefault="0063556E" w:rsidP="0063556E">
      <w:pPr>
        <w:pBdr>
          <w:bar w:val="single" w:sz="4" w:color="auto"/>
        </w:pBdr>
        <w:tabs>
          <w:tab w:val="right" w:pos="8312"/>
        </w:tabs>
        <w:rPr>
          <w:rFonts w:ascii="Footlight MT Light" w:hAnsi="Footlight MT Light"/>
          <w:b/>
          <w:caps/>
          <w:sz w:val="12"/>
          <w:szCs w:val="12"/>
        </w:rPr>
      </w:pPr>
      <w:r w:rsidRPr="003457AB">
        <w:rPr>
          <w:rFonts w:ascii="Footlight MT Light" w:hAnsi="Footlight MT Light"/>
          <w:b/>
          <w:caps/>
          <w:sz w:val="12"/>
          <w:szCs w:val="12"/>
        </w:rPr>
        <w:tab/>
      </w:r>
    </w:p>
    <w:p w:rsidR="0063556E" w:rsidRPr="005C406B" w:rsidRDefault="0063556E" w:rsidP="0063556E">
      <w:pPr>
        <w:pBdr>
          <w:bar w:val="single" w:sz="4" w:color="auto"/>
        </w:pBdr>
        <w:rPr>
          <w:rFonts w:ascii="Footlight MT Light" w:hAnsi="Footlight MT Light"/>
          <w:b/>
          <w:caps/>
          <w:sz w:val="16"/>
          <w:szCs w:val="16"/>
        </w:rPr>
      </w:pPr>
      <w:r w:rsidRPr="005C406B">
        <w:rPr>
          <w:rFonts w:ascii="Footlight MT Light" w:hAnsi="Footlight MT Light"/>
          <w:b/>
          <w:caps/>
          <w:sz w:val="16"/>
          <w:szCs w:val="16"/>
        </w:rPr>
        <w:t>Tel : 20 22 53 61</w:t>
      </w:r>
    </w:p>
    <w:p w:rsidR="0063556E" w:rsidRPr="003457AB" w:rsidRDefault="0063556E" w:rsidP="0063556E">
      <w:pPr>
        <w:pBdr>
          <w:bar w:val="single" w:sz="4" w:color="auto"/>
        </w:pBdr>
        <w:tabs>
          <w:tab w:val="right" w:pos="8312"/>
        </w:tabs>
        <w:rPr>
          <w:rFonts w:ascii="Footlight MT Light" w:hAnsi="Footlight MT Light"/>
          <w:b/>
          <w:caps/>
          <w:sz w:val="12"/>
          <w:szCs w:val="12"/>
        </w:rPr>
      </w:pPr>
      <w:r w:rsidRPr="003457AB">
        <w:rPr>
          <w:rFonts w:ascii="Footlight MT Light" w:hAnsi="Footlight MT Light"/>
          <w:b/>
          <w:caps/>
          <w:sz w:val="12"/>
          <w:szCs w:val="12"/>
        </w:rPr>
        <w:tab/>
      </w:r>
      <w:r w:rsidRPr="003457AB">
        <w:rPr>
          <w:rFonts w:ascii="Footlight MT Light" w:hAnsi="Footlight MT Light"/>
          <w:b/>
          <w:caps/>
          <w:sz w:val="12"/>
          <w:szCs w:val="12"/>
        </w:rPr>
        <w:tab/>
      </w:r>
      <w:r w:rsidRPr="003457AB">
        <w:rPr>
          <w:rFonts w:ascii="Footlight MT Light" w:hAnsi="Footlight MT Light"/>
          <w:b/>
          <w:caps/>
          <w:sz w:val="12"/>
          <w:szCs w:val="12"/>
        </w:rPr>
        <w:tab/>
      </w:r>
      <w:r w:rsidRPr="003457AB">
        <w:rPr>
          <w:rFonts w:ascii="Footlight MT Light" w:hAnsi="Footlight MT Light"/>
          <w:b/>
          <w:caps/>
          <w:sz w:val="12"/>
          <w:szCs w:val="12"/>
        </w:rPr>
        <w:tab/>
        <w:t xml:space="preserve">         </w:t>
      </w:r>
    </w:p>
    <w:p w:rsidR="0063556E" w:rsidRDefault="0063556E" w:rsidP="0063556E">
      <w:pPr>
        <w:pStyle w:val="Titre3"/>
        <w:pBdr>
          <w:top w:val="single" w:sz="4" w:space="1" w:color="auto" w:shadow="1"/>
          <w:left w:val="single" w:sz="4" w:space="4" w:color="auto" w:shadow="1"/>
          <w:bottom w:val="single" w:sz="4" w:space="1" w:color="auto" w:shadow="1"/>
          <w:right w:val="single" w:sz="4" w:space="4" w:color="auto" w:shadow="1"/>
          <w:bar w:val="single" w:sz="4" w:color="auto"/>
        </w:pBdr>
        <w:jc w:val="center"/>
        <w:rPr>
          <w:rFonts w:ascii="Footlight MT Light" w:hAnsi="Footlight MT Light"/>
          <w:caps w:val="0"/>
          <w:smallCaps/>
          <w:sz w:val="26"/>
          <w:szCs w:val="26"/>
        </w:rPr>
      </w:pPr>
      <w:r w:rsidRPr="005C406B">
        <w:rPr>
          <w:rFonts w:ascii="Footlight MT Light" w:hAnsi="Footlight MT Light"/>
          <w:caps w:val="0"/>
          <w:smallCaps/>
          <w:sz w:val="26"/>
          <w:szCs w:val="26"/>
        </w:rPr>
        <w:t xml:space="preserve">Avis à manifestation d’intérêt </w:t>
      </w:r>
    </w:p>
    <w:p w:rsidR="0063556E" w:rsidRPr="0041456E" w:rsidRDefault="0063556E" w:rsidP="0063556E">
      <w:pPr>
        <w:pStyle w:val="Titre3"/>
        <w:pBdr>
          <w:top w:val="single" w:sz="4" w:space="1" w:color="auto" w:shadow="1"/>
          <w:left w:val="single" w:sz="4" w:space="4" w:color="auto" w:shadow="1"/>
          <w:bottom w:val="single" w:sz="4" w:space="1" w:color="auto" w:shadow="1"/>
          <w:right w:val="single" w:sz="4" w:space="4" w:color="auto" w:shadow="1"/>
          <w:bar w:val="single" w:sz="4" w:color="auto"/>
        </w:pBdr>
        <w:jc w:val="center"/>
        <w:rPr>
          <w:rFonts w:ascii="Footlight MT Light" w:hAnsi="Footlight MT Light"/>
          <w:caps w:val="0"/>
          <w:smallCaps/>
          <w:sz w:val="28"/>
          <w:szCs w:val="28"/>
        </w:rPr>
      </w:pPr>
      <w:r w:rsidRPr="00930FBB">
        <w:rPr>
          <w:rFonts w:ascii="Footlight MT Light" w:hAnsi="Footlight MT Light"/>
          <w:caps w:val="0"/>
          <w:smallCaps/>
          <w:sz w:val="28"/>
          <w:szCs w:val="28"/>
        </w:rPr>
        <w:t xml:space="preserve">pour le recrutement d’un bureau </w:t>
      </w:r>
      <w:r w:rsidR="00930FBB" w:rsidRPr="00930FBB">
        <w:rPr>
          <w:rFonts w:ascii="Footlight MT Light" w:hAnsi="Footlight MT Light"/>
          <w:caps w:val="0"/>
          <w:smallCaps/>
          <w:sz w:val="28"/>
          <w:szCs w:val="28"/>
        </w:rPr>
        <w:t xml:space="preserve">pour l’audit comptable et financier </w:t>
      </w:r>
      <w:r w:rsidRPr="000947F3">
        <w:rPr>
          <w:rFonts w:ascii="Footlight MT Light" w:hAnsi="Footlight MT Light"/>
          <w:caps w:val="0"/>
          <w:smallCaps/>
          <w:sz w:val="28"/>
          <w:szCs w:val="28"/>
        </w:rPr>
        <w:t xml:space="preserve"> du PRODESS </w:t>
      </w:r>
      <w:r>
        <w:rPr>
          <w:rFonts w:ascii="Footlight MT Light" w:hAnsi="Footlight MT Light"/>
          <w:caps w:val="0"/>
          <w:smallCaps/>
          <w:sz w:val="28"/>
          <w:szCs w:val="28"/>
        </w:rPr>
        <w:t xml:space="preserve">au titre </w:t>
      </w:r>
      <w:r w:rsidR="00930FBB">
        <w:rPr>
          <w:rFonts w:ascii="Footlight MT Light" w:hAnsi="Footlight MT Light"/>
          <w:caps w:val="0"/>
          <w:smallCaps/>
          <w:sz w:val="28"/>
          <w:szCs w:val="28"/>
        </w:rPr>
        <w:t>des exercices 2018 ;  2019 et 2020</w:t>
      </w:r>
      <w:r w:rsidRPr="000947F3">
        <w:rPr>
          <w:rFonts w:ascii="Footlight MT Light" w:hAnsi="Footlight MT Light"/>
          <w:caps w:val="0"/>
          <w:smallCaps/>
          <w:sz w:val="28"/>
          <w:szCs w:val="28"/>
        </w:rPr>
        <w:t>.</w:t>
      </w:r>
    </w:p>
    <w:p w:rsidR="0063556E" w:rsidRPr="005C406B" w:rsidRDefault="0063556E" w:rsidP="0063556E">
      <w:pPr>
        <w:pBdr>
          <w:bar w:val="single" w:sz="4" w:color="auto"/>
        </w:pBdr>
        <w:tabs>
          <w:tab w:val="left" w:pos="-720"/>
        </w:tabs>
        <w:suppressAutoHyphens/>
        <w:jc w:val="center"/>
        <w:rPr>
          <w:rFonts w:ascii="Footlight MT Light" w:hAnsi="Footlight MT Light"/>
        </w:rPr>
      </w:pPr>
    </w:p>
    <w:p w:rsidR="00EB7FA7" w:rsidRPr="003457AB" w:rsidRDefault="00EB7FA7" w:rsidP="00EB7FA7">
      <w:pPr>
        <w:pStyle w:val="Paragraphedeliste"/>
        <w:numPr>
          <w:ilvl w:val="0"/>
          <w:numId w:val="1"/>
        </w:numPr>
        <w:spacing w:line="276" w:lineRule="auto"/>
        <w:ind w:left="420"/>
        <w:jc w:val="both"/>
        <w:rPr>
          <w:rFonts w:ascii="Footlight MT Light" w:hAnsi="Footlight MT Light"/>
          <w:bCs/>
          <w:spacing w:val="22"/>
          <w:sz w:val="22"/>
          <w:szCs w:val="22"/>
        </w:rPr>
      </w:pPr>
      <w:r w:rsidRPr="003457AB">
        <w:rPr>
          <w:rFonts w:ascii="Footlight MT Light" w:hAnsi="Footlight MT Light"/>
          <w:bCs/>
          <w:spacing w:val="22"/>
          <w:sz w:val="22"/>
          <w:szCs w:val="22"/>
        </w:rPr>
        <w:t>Conformément aux recommandations de la réforme de l’aide au développement, le gouvernement a conclu un arrangement cadre relatif aux appuis budgétaires et un arrangement spécifique relatif à l’appui budgétaire sectoriel en faveur des secteurs sanitaire et social. Il est stipulé dans l’article 19 de l’arrangement spécifique qu’un audit annuel conjoint du PRODESS II sera effectué par les structures nationales avec l’appui d’un cabinet d’audit international.</w:t>
      </w:r>
    </w:p>
    <w:p w:rsidR="00EB7FA7" w:rsidRPr="00882028" w:rsidRDefault="00EB7FA7" w:rsidP="00EB7FA7">
      <w:pPr>
        <w:tabs>
          <w:tab w:val="left" w:pos="-720"/>
        </w:tabs>
        <w:suppressAutoHyphens/>
        <w:jc w:val="center"/>
        <w:rPr>
          <w:rFonts w:ascii="Footlight MT Light" w:hAnsi="Footlight MT Light"/>
          <w:sz w:val="12"/>
          <w:szCs w:val="12"/>
        </w:rPr>
      </w:pPr>
    </w:p>
    <w:p w:rsidR="00EB7FA7" w:rsidRPr="003457AB" w:rsidRDefault="00EB7FA7" w:rsidP="00EB7FA7">
      <w:pPr>
        <w:pStyle w:val="Paragraphedeliste"/>
        <w:numPr>
          <w:ilvl w:val="0"/>
          <w:numId w:val="1"/>
        </w:numPr>
        <w:spacing w:line="276" w:lineRule="auto"/>
        <w:ind w:left="420"/>
        <w:jc w:val="both"/>
        <w:rPr>
          <w:rFonts w:ascii="Footlight MT Light" w:hAnsi="Footlight MT Light"/>
          <w:bCs/>
          <w:spacing w:val="22"/>
          <w:sz w:val="22"/>
          <w:szCs w:val="22"/>
        </w:rPr>
      </w:pPr>
      <w:r w:rsidRPr="003457AB">
        <w:rPr>
          <w:rFonts w:ascii="Footlight MT Light" w:hAnsi="Footlight MT Light"/>
          <w:bCs/>
          <w:spacing w:val="22"/>
          <w:sz w:val="22"/>
          <w:szCs w:val="22"/>
        </w:rPr>
        <w:t xml:space="preserve">Le </w:t>
      </w:r>
      <w:r>
        <w:rPr>
          <w:rFonts w:ascii="Footlight MT Light" w:hAnsi="Footlight MT Light"/>
          <w:bCs/>
          <w:spacing w:val="22"/>
          <w:sz w:val="22"/>
          <w:szCs w:val="22"/>
        </w:rPr>
        <w:t>Ministre de la Santé et du Développement Social</w:t>
      </w:r>
      <w:r>
        <w:rPr>
          <w:rFonts w:ascii="Footlight MT Light" w:hAnsi="Footlight MT Light"/>
          <w:bCs/>
          <w:spacing w:val="22"/>
          <w:sz w:val="22"/>
          <w:szCs w:val="22"/>
        </w:rPr>
        <w:t xml:space="preserve"> </w:t>
      </w:r>
      <w:r w:rsidRPr="003457AB">
        <w:rPr>
          <w:rFonts w:ascii="Footlight MT Light" w:hAnsi="Footlight MT Light"/>
          <w:bCs/>
          <w:spacing w:val="22"/>
          <w:sz w:val="22"/>
          <w:szCs w:val="22"/>
        </w:rPr>
        <w:t>invite par le présent avis les éventuels candidats (cabinets d’audit) à manifester leur candidature pour les prestations précitées.</w:t>
      </w:r>
    </w:p>
    <w:p w:rsidR="00EB7FA7" w:rsidRPr="00882028" w:rsidRDefault="00EB7FA7" w:rsidP="00EB7FA7">
      <w:pPr>
        <w:tabs>
          <w:tab w:val="left" w:pos="-720"/>
        </w:tabs>
        <w:suppressAutoHyphens/>
        <w:jc w:val="center"/>
        <w:rPr>
          <w:rFonts w:ascii="Footlight MT Light" w:hAnsi="Footlight MT Light"/>
          <w:sz w:val="12"/>
          <w:szCs w:val="12"/>
        </w:rPr>
      </w:pPr>
    </w:p>
    <w:p w:rsidR="00EB7FA7" w:rsidRPr="003457AB" w:rsidRDefault="00EB7FA7" w:rsidP="00EB7FA7">
      <w:pPr>
        <w:pStyle w:val="Paragraphedeliste"/>
        <w:numPr>
          <w:ilvl w:val="0"/>
          <w:numId w:val="1"/>
        </w:numPr>
        <w:spacing w:line="276" w:lineRule="auto"/>
        <w:ind w:left="420"/>
        <w:jc w:val="both"/>
        <w:rPr>
          <w:rFonts w:ascii="Footlight MT Light" w:hAnsi="Footlight MT Light"/>
          <w:bCs/>
          <w:spacing w:val="22"/>
          <w:sz w:val="22"/>
          <w:szCs w:val="22"/>
        </w:rPr>
      </w:pPr>
      <w:r w:rsidRPr="003457AB">
        <w:rPr>
          <w:rFonts w:ascii="Footlight MT Light" w:hAnsi="Footlight MT Light"/>
          <w:bCs/>
          <w:spacing w:val="22"/>
          <w:sz w:val="22"/>
          <w:szCs w:val="22"/>
        </w:rPr>
        <w:t xml:space="preserve">L’audit des comptes du PRODESS, </w:t>
      </w:r>
      <w:r>
        <w:rPr>
          <w:rFonts w:ascii="Footlight MT Light" w:hAnsi="Footlight MT Light"/>
          <w:bCs/>
          <w:spacing w:val="22"/>
          <w:sz w:val="22"/>
          <w:szCs w:val="22"/>
        </w:rPr>
        <w:t>concernera</w:t>
      </w:r>
      <w:r w:rsidRPr="003457AB">
        <w:rPr>
          <w:rFonts w:ascii="Footlight MT Light" w:hAnsi="Footlight MT Light"/>
          <w:bCs/>
          <w:spacing w:val="22"/>
          <w:sz w:val="22"/>
          <w:szCs w:val="22"/>
        </w:rPr>
        <w:t> :</w:t>
      </w:r>
    </w:p>
    <w:p w:rsidR="00EB7FA7" w:rsidRPr="00882028" w:rsidRDefault="00EB7FA7" w:rsidP="00EB7FA7">
      <w:pPr>
        <w:tabs>
          <w:tab w:val="left" w:pos="-720"/>
        </w:tabs>
        <w:suppressAutoHyphens/>
        <w:jc w:val="center"/>
        <w:rPr>
          <w:rFonts w:ascii="Footlight MT Light" w:hAnsi="Footlight MT Light"/>
          <w:sz w:val="12"/>
          <w:szCs w:val="12"/>
        </w:rPr>
      </w:pPr>
    </w:p>
    <w:p w:rsidR="00EB7FA7" w:rsidRPr="003457AB" w:rsidRDefault="00EB7FA7" w:rsidP="00EB7FA7">
      <w:pPr>
        <w:pStyle w:val="Corpsdetexte2"/>
        <w:numPr>
          <w:ilvl w:val="0"/>
          <w:numId w:val="4"/>
        </w:numPr>
        <w:tabs>
          <w:tab w:val="left" w:pos="-720"/>
        </w:tabs>
        <w:suppressAutoHyphens/>
        <w:ind w:left="420"/>
        <w:rPr>
          <w:rFonts w:ascii="Footlight MT Light" w:hAnsi="Footlight MT Light"/>
          <w:b w:val="0"/>
          <w:bCs/>
          <w:sz w:val="22"/>
          <w:szCs w:val="22"/>
        </w:rPr>
      </w:pPr>
      <w:r>
        <w:rPr>
          <w:rFonts w:ascii="Footlight MT Light" w:hAnsi="Footlight MT Light"/>
          <w:b w:val="0"/>
          <w:bCs/>
          <w:sz w:val="22"/>
          <w:szCs w:val="22"/>
        </w:rPr>
        <w:t>les exercices 2018 ; 2019 et 2020</w:t>
      </w:r>
      <w:r w:rsidRPr="003457AB">
        <w:rPr>
          <w:rFonts w:ascii="Footlight MT Light" w:hAnsi="Footlight MT Light"/>
          <w:b w:val="0"/>
          <w:bCs/>
          <w:sz w:val="22"/>
          <w:szCs w:val="22"/>
        </w:rPr>
        <w:t xml:space="preserve"> pour la totalité des ressources du budget de l’Etat dédiées </w:t>
      </w:r>
      <w:r>
        <w:rPr>
          <w:rFonts w:ascii="Footlight MT Light" w:hAnsi="Footlight MT Light"/>
          <w:b w:val="0"/>
          <w:bCs/>
          <w:sz w:val="22"/>
          <w:szCs w:val="22"/>
        </w:rPr>
        <w:t>au</w:t>
      </w:r>
      <w:r w:rsidR="00864839">
        <w:rPr>
          <w:rFonts w:ascii="Footlight MT Light" w:hAnsi="Footlight MT Light"/>
          <w:b w:val="0"/>
          <w:bCs/>
          <w:sz w:val="22"/>
          <w:szCs w:val="22"/>
        </w:rPr>
        <w:t>x</w:t>
      </w:r>
      <w:r w:rsidRPr="003457AB">
        <w:rPr>
          <w:rFonts w:ascii="Footlight MT Light" w:hAnsi="Footlight MT Light"/>
          <w:b w:val="0"/>
          <w:bCs/>
          <w:sz w:val="22"/>
          <w:szCs w:val="22"/>
        </w:rPr>
        <w:t xml:space="preserve"> </w:t>
      </w:r>
      <w:r w:rsidR="00864839">
        <w:rPr>
          <w:rFonts w:ascii="Footlight MT Light" w:hAnsi="Footlight MT Light"/>
          <w:b w:val="0"/>
          <w:bCs/>
          <w:sz w:val="22"/>
          <w:szCs w:val="22"/>
        </w:rPr>
        <w:t xml:space="preserve">ministères en charge du PRODESS </w:t>
      </w:r>
      <w:r w:rsidRPr="003457AB">
        <w:rPr>
          <w:rFonts w:ascii="Footlight MT Light" w:hAnsi="Footlight MT Light"/>
          <w:b w:val="0"/>
          <w:bCs/>
          <w:sz w:val="22"/>
          <w:szCs w:val="22"/>
        </w:rPr>
        <w:t xml:space="preserve">; </w:t>
      </w:r>
    </w:p>
    <w:p w:rsidR="00EB7FA7" w:rsidRPr="00882028" w:rsidRDefault="00EB7FA7" w:rsidP="00EB7FA7">
      <w:pPr>
        <w:tabs>
          <w:tab w:val="left" w:pos="-720"/>
        </w:tabs>
        <w:suppressAutoHyphens/>
        <w:jc w:val="center"/>
        <w:rPr>
          <w:rFonts w:ascii="Footlight MT Light" w:hAnsi="Footlight MT Light"/>
          <w:sz w:val="12"/>
          <w:szCs w:val="12"/>
        </w:rPr>
      </w:pPr>
    </w:p>
    <w:p w:rsidR="00EB7FA7" w:rsidRPr="003457AB" w:rsidRDefault="00EB7FA7" w:rsidP="00EB7FA7">
      <w:pPr>
        <w:pStyle w:val="Corpsdetexte2"/>
        <w:numPr>
          <w:ilvl w:val="0"/>
          <w:numId w:val="4"/>
        </w:numPr>
        <w:tabs>
          <w:tab w:val="left" w:pos="-720"/>
        </w:tabs>
        <w:suppressAutoHyphens/>
        <w:ind w:left="420"/>
        <w:rPr>
          <w:rFonts w:ascii="Footlight MT Light" w:hAnsi="Footlight MT Light"/>
          <w:b w:val="0"/>
          <w:bCs/>
          <w:sz w:val="22"/>
          <w:szCs w:val="22"/>
        </w:rPr>
      </w:pPr>
      <w:r w:rsidRPr="003457AB">
        <w:rPr>
          <w:rFonts w:ascii="Footlight MT Light" w:hAnsi="Footlight MT Light"/>
          <w:b w:val="0"/>
          <w:bCs/>
          <w:sz w:val="22"/>
          <w:szCs w:val="22"/>
        </w:rPr>
        <w:t xml:space="preserve">l’appui budgétaire sectoriel (ABS) de </w:t>
      </w:r>
      <w:r w:rsidR="00864839">
        <w:rPr>
          <w:rFonts w:ascii="Footlight MT Light" w:hAnsi="Footlight MT Light"/>
          <w:b w:val="0"/>
          <w:bCs/>
          <w:sz w:val="22"/>
          <w:szCs w:val="22"/>
        </w:rPr>
        <w:t>2018 ; 2019 et 2020</w:t>
      </w:r>
      <w:r w:rsidRPr="003457AB">
        <w:rPr>
          <w:rFonts w:ascii="Footlight MT Light" w:hAnsi="Footlight MT Light"/>
          <w:b w:val="0"/>
          <w:bCs/>
          <w:sz w:val="22"/>
          <w:szCs w:val="22"/>
        </w:rPr>
        <w:t xml:space="preserve"> pour le PRODESS;</w:t>
      </w:r>
    </w:p>
    <w:p w:rsidR="00EB7FA7" w:rsidRPr="00882028" w:rsidRDefault="00EB7FA7" w:rsidP="00EB7FA7">
      <w:pPr>
        <w:tabs>
          <w:tab w:val="left" w:pos="-720"/>
        </w:tabs>
        <w:suppressAutoHyphens/>
        <w:jc w:val="center"/>
        <w:rPr>
          <w:rFonts w:ascii="Footlight MT Light" w:hAnsi="Footlight MT Light"/>
          <w:sz w:val="12"/>
          <w:szCs w:val="12"/>
        </w:rPr>
      </w:pPr>
    </w:p>
    <w:p w:rsidR="00EB7FA7" w:rsidRPr="003457AB" w:rsidRDefault="00EB7FA7" w:rsidP="00EB7FA7">
      <w:pPr>
        <w:pStyle w:val="Corpsdetexte2"/>
        <w:numPr>
          <w:ilvl w:val="0"/>
          <w:numId w:val="4"/>
        </w:numPr>
        <w:tabs>
          <w:tab w:val="left" w:pos="-720"/>
        </w:tabs>
        <w:suppressAutoHyphens/>
        <w:ind w:left="420"/>
        <w:rPr>
          <w:rFonts w:ascii="Footlight MT Light" w:hAnsi="Footlight MT Light"/>
          <w:b w:val="0"/>
          <w:bCs/>
          <w:sz w:val="22"/>
          <w:szCs w:val="22"/>
        </w:rPr>
      </w:pPr>
      <w:r w:rsidRPr="003457AB">
        <w:rPr>
          <w:rFonts w:ascii="Footlight MT Light" w:hAnsi="Footlight MT Light"/>
          <w:b w:val="0"/>
          <w:bCs/>
          <w:sz w:val="22"/>
          <w:szCs w:val="22"/>
        </w:rPr>
        <w:t>les appuis directs : la contribution des partenaires selon toute autre forme d’aide, dédiée au PRODESS II (</w:t>
      </w:r>
      <w:r>
        <w:rPr>
          <w:rFonts w:ascii="Footlight MT Light" w:hAnsi="Footlight MT Light"/>
          <w:b w:val="0"/>
          <w:bCs/>
          <w:sz w:val="22"/>
          <w:szCs w:val="22"/>
        </w:rPr>
        <w:t>Ministères en charge du PRODESS</w:t>
      </w:r>
      <w:r w:rsidRPr="003457AB">
        <w:rPr>
          <w:rFonts w:ascii="Footlight MT Light" w:hAnsi="Footlight MT Light"/>
          <w:b w:val="0"/>
          <w:bCs/>
          <w:sz w:val="22"/>
          <w:szCs w:val="22"/>
        </w:rPr>
        <w:t xml:space="preserve">) pour l’exercice </w:t>
      </w:r>
      <w:r w:rsidR="00864839">
        <w:rPr>
          <w:rFonts w:ascii="Footlight MT Light" w:hAnsi="Footlight MT Light"/>
          <w:b w:val="0"/>
          <w:bCs/>
          <w:sz w:val="22"/>
          <w:szCs w:val="22"/>
        </w:rPr>
        <w:t>2018 ; 2019 et 2020</w:t>
      </w:r>
      <w:r w:rsidRPr="003457AB">
        <w:rPr>
          <w:rFonts w:ascii="Footlight MT Light" w:hAnsi="Footlight MT Light"/>
          <w:b w:val="0"/>
          <w:bCs/>
          <w:sz w:val="22"/>
          <w:szCs w:val="22"/>
        </w:rPr>
        <w:t> ;</w:t>
      </w:r>
    </w:p>
    <w:p w:rsidR="00EB7FA7" w:rsidRPr="00882028" w:rsidRDefault="00EB7FA7" w:rsidP="00EB7FA7">
      <w:pPr>
        <w:tabs>
          <w:tab w:val="left" w:pos="-720"/>
        </w:tabs>
        <w:suppressAutoHyphens/>
        <w:jc w:val="center"/>
        <w:rPr>
          <w:rFonts w:ascii="Footlight MT Light" w:hAnsi="Footlight MT Light"/>
          <w:sz w:val="12"/>
          <w:szCs w:val="12"/>
        </w:rPr>
      </w:pPr>
    </w:p>
    <w:p w:rsidR="00EB7FA7" w:rsidRPr="003457AB" w:rsidRDefault="00EB7FA7" w:rsidP="00EB7FA7">
      <w:pPr>
        <w:pStyle w:val="Corpsdetexte2"/>
        <w:numPr>
          <w:ilvl w:val="0"/>
          <w:numId w:val="4"/>
        </w:numPr>
        <w:tabs>
          <w:tab w:val="left" w:pos="-720"/>
        </w:tabs>
        <w:suppressAutoHyphens/>
        <w:ind w:left="420"/>
        <w:rPr>
          <w:rFonts w:ascii="Footlight MT Light" w:hAnsi="Footlight MT Light"/>
          <w:b w:val="0"/>
          <w:bCs/>
          <w:sz w:val="22"/>
          <w:szCs w:val="22"/>
        </w:rPr>
      </w:pPr>
      <w:r w:rsidRPr="003457AB">
        <w:rPr>
          <w:rFonts w:ascii="Footlight MT Light" w:hAnsi="Footlight MT Light"/>
          <w:b w:val="0"/>
          <w:bCs/>
          <w:sz w:val="22"/>
          <w:szCs w:val="22"/>
        </w:rPr>
        <w:t>le rapprochement effectué par la DFM/Santé</w:t>
      </w:r>
      <w:r>
        <w:rPr>
          <w:rFonts w:ascii="Footlight MT Light" w:hAnsi="Footlight MT Light"/>
          <w:b w:val="0"/>
          <w:bCs/>
          <w:sz w:val="22"/>
          <w:szCs w:val="22"/>
        </w:rPr>
        <w:t xml:space="preserve"> et </w:t>
      </w:r>
      <w:r w:rsidR="00A60E06">
        <w:rPr>
          <w:rFonts w:ascii="Footlight MT Light" w:hAnsi="Footlight MT Light"/>
          <w:b w:val="0"/>
          <w:bCs/>
          <w:sz w:val="22"/>
          <w:szCs w:val="22"/>
        </w:rPr>
        <w:t>du Développement Social</w:t>
      </w:r>
      <w:r w:rsidRPr="003457AB">
        <w:rPr>
          <w:rFonts w:ascii="Footlight MT Light" w:hAnsi="Footlight MT Light"/>
          <w:b w:val="0"/>
          <w:bCs/>
          <w:sz w:val="22"/>
          <w:szCs w:val="22"/>
        </w:rPr>
        <w:t xml:space="preserve"> entre le rapport d’activité (RA) présenté au Comité de technique du PRODESS II et les états financiers </w:t>
      </w:r>
      <w:r w:rsidR="00A60E06">
        <w:rPr>
          <w:rFonts w:ascii="Footlight MT Light" w:hAnsi="Footlight MT Light"/>
          <w:b w:val="0"/>
          <w:bCs/>
          <w:sz w:val="22"/>
          <w:szCs w:val="22"/>
        </w:rPr>
        <w:t>2017 ; 2018 et 2019</w:t>
      </w:r>
      <w:r w:rsidR="00633686">
        <w:rPr>
          <w:rFonts w:ascii="Footlight MT Light" w:hAnsi="Footlight MT Light"/>
          <w:b w:val="0"/>
          <w:bCs/>
          <w:sz w:val="22"/>
          <w:szCs w:val="22"/>
        </w:rPr>
        <w:t> ;</w:t>
      </w:r>
    </w:p>
    <w:p w:rsidR="00EB7FA7" w:rsidRPr="003457AB" w:rsidRDefault="00EB7FA7" w:rsidP="00EB7FA7">
      <w:pPr>
        <w:tabs>
          <w:tab w:val="left" w:pos="-720"/>
        </w:tabs>
        <w:suppressAutoHyphens/>
        <w:jc w:val="center"/>
        <w:rPr>
          <w:rFonts w:ascii="Footlight MT Light" w:hAnsi="Footlight MT Light"/>
          <w:sz w:val="12"/>
          <w:szCs w:val="12"/>
        </w:rPr>
      </w:pPr>
    </w:p>
    <w:p w:rsidR="00EB7FA7" w:rsidRPr="003457AB" w:rsidRDefault="00EB7FA7" w:rsidP="00EB7FA7">
      <w:pPr>
        <w:pStyle w:val="Corpsdetexte2"/>
        <w:numPr>
          <w:ilvl w:val="0"/>
          <w:numId w:val="4"/>
        </w:numPr>
        <w:tabs>
          <w:tab w:val="left" w:pos="-720"/>
        </w:tabs>
        <w:suppressAutoHyphens/>
        <w:ind w:left="420"/>
        <w:rPr>
          <w:rFonts w:ascii="Footlight MT Light" w:hAnsi="Footlight MT Light"/>
          <w:b w:val="0"/>
          <w:bCs/>
          <w:sz w:val="22"/>
          <w:szCs w:val="22"/>
        </w:rPr>
      </w:pPr>
      <w:r>
        <w:rPr>
          <w:rFonts w:ascii="Footlight MT Light" w:hAnsi="Footlight MT Light"/>
          <w:b w:val="0"/>
          <w:bCs/>
          <w:sz w:val="22"/>
          <w:szCs w:val="22"/>
        </w:rPr>
        <w:t>l</w:t>
      </w:r>
      <w:r w:rsidRPr="003457AB">
        <w:rPr>
          <w:rFonts w:ascii="Footlight MT Light" w:hAnsi="Footlight MT Light"/>
          <w:b w:val="0"/>
          <w:bCs/>
          <w:sz w:val="22"/>
          <w:szCs w:val="22"/>
        </w:rPr>
        <w:t>’auditeur procédera à la vérification des pièces de dépenses par niveau</w:t>
      </w:r>
      <w:r>
        <w:rPr>
          <w:rFonts w:ascii="Footlight MT Light" w:hAnsi="Footlight MT Light"/>
          <w:b w:val="0"/>
          <w:bCs/>
          <w:sz w:val="22"/>
          <w:szCs w:val="22"/>
        </w:rPr>
        <w:t> ;</w:t>
      </w:r>
    </w:p>
    <w:p w:rsidR="00EB7FA7" w:rsidRPr="00882028" w:rsidRDefault="00EB7FA7" w:rsidP="00EB7FA7">
      <w:pPr>
        <w:tabs>
          <w:tab w:val="left" w:pos="-720"/>
        </w:tabs>
        <w:suppressAutoHyphens/>
        <w:jc w:val="center"/>
        <w:rPr>
          <w:rFonts w:ascii="Footlight MT Light" w:hAnsi="Footlight MT Light"/>
          <w:sz w:val="12"/>
          <w:szCs w:val="12"/>
        </w:rPr>
      </w:pPr>
    </w:p>
    <w:p w:rsidR="00EB7FA7" w:rsidRDefault="00EB7FA7" w:rsidP="00EB7FA7">
      <w:pPr>
        <w:pStyle w:val="Corpsdetexte2"/>
        <w:numPr>
          <w:ilvl w:val="0"/>
          <w:numId w:val="4"/>
        </w:numPr>
        <w:tabs>
          <w:tab w:val="left" w:pos="-720"/>
        </w:tabs>
        <w:suppressAutoHyphens/>
        <w:ind w:left="420"/>
        <w:rPr>
          <w:rFonts w:ascii="Footlight MT Light" w:hAnsi="Footlight MT Light"/>
          <w:b w:val="0"/>
          <w:bCs/>
          <w:sz w:val="22"/>
          <w:szCs w:val="22"/>
        </w:rPr>
      </w:pPr>
      <w:r>
        <w:rPr>
          <w:rFonts w:ascii="Footlight MT Light" w:hAnsi="Footlight MT Light"/>
          <w:b w:val="0"/>
          <w:bCs/>
          <w:sz w:val="22"/>
          <w:szCs w:val="22"/>
        </w:rPr>
        <w:t>l’</w:t>
      </w:r>
      <w:r w:rsidRPr="003457AB">
        <w:rPr>
          <w:rFonts w:ascii="Footlight MT Light" w:hAnsi="Footlight MT Light"/>
          <w:b w:val="0"/>
          <w:bCs/>
          <w:sz w:val="22"/>
          <w:szCs w:val="22"/>
        </w:rPr>
        <w:t xml:space="preserve">engagement  (contenant les éléments relatifs à la disponibilité budgétaire, à la mise en concurrence et les documents administratifs exigés des opérateurs économiques) ; </w:t>
      </w:r>
    </w:p>
    <w:p w:rsidR="00EB7FA7" w:rsidRPr="003457AB" w:rsidRDefault="00EB7FA7" w:rsidP="00EB7FA7">
      <w:pPr>
        <w:tabs>
          <w:tab w:val="left" w:pos="-720"/>
        </w:tabs>
        <w:suppressAutoHyphens/>
        <w:jc w:val="center"/>
        <w:rPr>
          <w:rFonts w:ascii="Footlight MT Light" w:hAnsi="Footlight MT Light"/>
          <w:sz w:val="12"/>
          <w:szCs w:val="12"/>
        </w:rPr>
      </w:pPr>
      <w:r w:rsidRPr="003457AB">
        <w:rPr>
          <w:rFonts w:ascii="Footlight MT Light" w:hAnsi="Footlight MT Light"/>
          <w:sz w:val="12"/>
          <w:szCs w:val="12"/>
        </w:rPr>
        <w:tab/>
      </w:r>
    </w:p>
    <w:p w:rsidR="00EB7FA7" w:rsidRPr="003457AB" w:rsidRDefault="00EB7FA7" w:rsidP="00EB7FA7">
      <w:pPr>
        <w:pStyle w:val="Corpsdetexte2"/>
        <w:numPr>
          <w:ilvl w:val="0"/>
          <w:numId w:val="4"/>
        </w:numPr>
        <w:tabs>
          <w:tab w:val="left" w:pos="-720"/>
        </w:tabs>
        <w:suppressAutoHyphens/>
        <w:ind w:left="420"/>
        <w:rPr>
          <w:rFonts w:ascii="Footlight MT Light" w:hAnsi="Footlight MT Light"/>
          <w:b w:val="0"/>
          <w:bCs/>
          <w:sz w:val="22"/>
          <w:szCs w:val="22"/>
        </w:rPr>
      </w:pPr>
      <w:r w:rsidRPr="003457AB">
        <w:rPr>
          <w:rFonts w:ascii="Footlight MT Light" w:hAnsi="Footlight MT Light"/>
          <w:b w:val="0"/>
          <w:bCs/>
          <w:sz w:val="22"/>
          <w:szCs w:val="22"/>
        </w:rPr>
        <w:t>liquidation (contenant les éléments relatifs à la preuve de l’effectivité des prestations attendues de l’opérateur économique ainsi que sa facture et ses pièces fiscales).</w:t>
      </w:r>
      <w:r w:rsidRPr="003457AB">
        <w:rPr>
          <w:rFonts w:ascii="Footlight MT Light" w:hAnsi="Footlight MT Light"/>
          <w:b w:val="0"/>
          <w:bCs/>
          <w:sz w:val="22"/>
          <w:szCs w:val="22"/>
        </w:rPr>
        <w:tab/>
      </w:r>
    </w:p>
    <w:p w:rsidR="00EB7FA7" w:rsidRPr="00882028" w:rsidRDefault="00EB7FA7" w:rsidP="00EB7FA7">
      <w:pPr>
        <w:tabs>
          <w:tab w:val="left" w:pos="-720"/>
        </w:tabs>
        <w:suppressAutoHyphens/>
        <w:jc w:val="center"/>
        <w:rPr>
          <w:rFonts w:ascii="Footlight MT Light" w:hAnsi="Footlight MT Light"/>
          <w:sz w:val="12"/>
          <w:szCs w:val="12"/>
        </w:rPr>
      </w:pPr>
    </w:p>
    <w:p w:rsidR="00EB7FA7" w:rsidRPr="003457AB" w:rsidRDefault="00EB7FA7" w:rsidP="00EB7FA7">
      <w:pPr>
        <w:spacing w:line="276" w:lineRule="auto"/>
        <w:jc w:val="both"/>
        <w:rPr>
          <w:rFonts w:ascii="Footlight MT Light" w:hAnsi="Footlight MT Light"/>
          <w:bCs/>
          <w:spacing w:val="22"/>
          <w:sz w:val="22"/>
          <w:szCs w:val="22"/>
        </w:rPr>
      </w:pPr>
      <w:r w:rsidRPr="003457AB">
        <w:rPr>
          <w:rFonts w:ascii="Footlight MT Light" w:hAnsi="Footlight MT Light"/>
          <w:bCs/>
          <w:spacing w:val="22"/>
          <w:sz w:val="22"/>
          <w:szCs w:val="22"/>
        </w:rPr>
        <w:t xml:space="preserve">En ce qui concerne les dépenses faites en régies, les pièces justificatives seront vérifiées auprès des régisseurs et des </w:t>
      </w:r>
      <w:proofErr w:type="spellStart"/>
      <w:r w:rsidRPr="003457AB">
        <w:rPr>
          <w:rFonts w:ascii="Footlight MT Light" w:hAnsi="Footlight MT Light"/>
          <w:bCs/>
          <w:spacing w:val="22"/>
          <w:sz w:val="22"/>
          <w:szCs w:val="22"/>
        </w:rPr>
        <w:t>billeteurs</w:t>
      </w:r>
      <w:proofErr w:type="spellEnd"/>
      <w:r w:rsidRPr="003457AB">
        <w:rPr>
          <w:rFonts w:ascii="Footlight MT Light" w:hAnsi="Footlight MT Light"/>
          <w:bCs/>
          <w:spacing w:val="22"/>
          <w:sz w:val="22"/>
          <w:szCs w:val="22"/>
        </w:rPr>
        <w:t xml:space="preserve">, aux noms desquels les avances de fonds sont faites. </w:t>
      </w:r>
    </w:p>
    <w:p w:rsidR="00EB7FA7" w:rsidRPr="00882028" w:rsidRDefault="00EB7FA7" w:rsidP="00EB7FA7">
      <w:pPr>
        <w:tabs>
          <w:tab w:val="left" w:pos="-720"/>
        </w:tabs>
        <w:suppressAutoHyphens/>
        <w:jc w:val="center"/>
        <w:rPr>
          <w:rFonts w:ascii="Footlight MT Light" w:hAnsi="Footlight MT Light"/>
          <w:sz w:val="12"/>
          <w:szCs w:val="12"/>
        </w:rPr>
      </w:pPr>
    </w:p>
    <w:p w:rsidR="00EB7FA7" w:rsidRPr="003457AB" w:rsidRDefault="00EB7FA7" w:rsidP="00EB7FA7">
      <w:pPr>
        <w:spacing w:line="276" w:lineRule="auto"/>
        <w:jc w:val="both"/>
        <w:rPr>
          <w:rFonts w:ascii="Footlight MT Light" w:hAnsi="Footlight MT Light"/>
          <w:bCs/>
          <w:spacing w:val="22"/>
          <w:sz w:val="22"/>
          <w:szCs w:val="22"/>
        </w:rPr>
      </w:pPr>
      <w:r w:rsidRPr="003457AB">
        <w:rPr>
          <w:rFonts w:ascii="Footlight MT Light" w:hAnsi="Footlight MT Light"/>
          <w:bCs/>
          <w:spacing w:val="22"/>
          <w:sz w:val="22"/>
          <w:szCs w:val="22"/>
        </w:rPr>
        <w:t>Toutefois, les ressources gérées directement par les Partenaires Techniques et Financiers et dont les justificatifs (originaux) ne sont pas disponibles au niveau des sites comptables sont exclues du champ de cet audit. Ces ressources pourront faire l’objet d’un tableau annexé au rapport soumis à l’auditeur pour avis.</w:t>
      </w:r>
    </w:p>
    <w:p w:rsidR="00EB7FA7" w:rsidRPr="00882028" w:rsidRDefault="00EB7FA7" w:rsidP="00EB7FA7">
      <w:pPr>
        <w:tabs>
          <w:tab w:val="left" w:pos="-720"/>
        </w:tabs>
        <w:suppressAutoHyphens/>
        <w:jc w:val="center"/>
        <w:rPr>
          <w:rFonts w:ascii="Footlight MT Light" w:hAnsi="Footlight MT Light"/>
          <w:sz w:val="12"/>
          <w:szCs w:val="12"/>
        </w:rPr>
      </w:pPr>
    </w:p>
    <w:p w:rsidR="00EB7FA7" w:rsidRPr="003457AB" w:rsidRDefault="00EB7FA7" w:rsidP="00EB7FA7">
      <w:pPr>
        <w:pStyle w:val="Paragraphedeliste"/>
        <w:numPr>
          <w:ilvl w:val="0"/>
          <w:numId w:val="1"/>
        </w:numPr>
        <w:spacing w:line="276" w:lineRule="auto"/>
        <w:ind w:left="420"/>
        <w:jc w:val="both"/>
        <w:rPr>
          <w:rFonts w:ascii="Footlight MT Light" w:hAnsi="Footlight MT Light"/>
          <w:bCs/>
          <w:spacing w:val="22"/>
          <w:sz w:val="22"/>
          <w:szCs w:val="22"/>
        </w:rPr>
      </w:pPr>
      <w:r>
        <w:rPr>
          <w:rFonts w:ascii="Footlight MT Light" w:hAnsi="Footlight MT Light"/>
          <w:bCs/>
          <w:spacing w:val="22"/>
          <w:sz w:val="22"/>
          <w:szCs w:val="22"/>
        </w:rPr>
        <w:t>Une liste restreinte de six (06)</w:t>
      </w:r>
      <w:r w:rsidRPr="003457AB">
        <w:rPr>
          <w:rFonts w:ascii="Footlight MT Light" w:hAnsi="Footlight MT Light"/>
          <w:bCs/>
          <w:spacing w:val="22"/>
          <w:sz w:val="22"/>
          <w:szCs w:val="22"/>
        </w:rPr>
        <w:t xml:space="preserve"> </w:t>
      </w:r>
      <w:r w:rsidR="00633686">
        <w:rPr>
          <w:rFonts w:ascii="Footlight MT Light" w:hAnsi="Footlight MT Light"/>
          <w:bCs/>
          <w:spacing w:val="22"/>
          <w:sz w:val="22"/>
          <w:szCs w:val="22"/>
        </w:rPr>
        <w:t>c</w:t>
      </w:r>
      <w:r w:rsidRPr="003457AB">
        <w:rPr>
          <w:rFonts w:ascii="Footlight MT Light" w:hAnsi="Footlight MT Light"/>
          <w:bCs/>
          <w:spacing w:val="22"/>
          <w:sz w:val="22"/>
          <w:szCs w:val="22"/>
        </w:rPr>
        <w:t>onsultants (cabinets d’audit)</w:t>
      </w:r>
      <w:r w:rsidR="00633686">
        <w:rPr>
          <w:rFonts w:ascii="Footlight MT Light" w:hAnsi="Footlight MT Light"/>
          <w:bCs/>
          <w:spacing w:val="22"/>
          <w:sz w:val="22"/>
          <w:szCs w:val="22"/>
        </w:rPr>
        <w:t xml:space="preserve"> </w:t>
      </w:r>
      <w:r w:rsidRPr="003457AB">
        <w:rPr>
          <w:rFonts w:ascii="Footlight MT Light" w:hAnsi="Footlight MT Light"/>
          <w:bCs/>
          <w:spacing w:val="22"/>
          <w:sz w:val="22"/>
          <w:szCs w:val="22"/>
        </w:rPr>
        <w:t xml:space="preserve">sélectionnés </w:t>
      </w:r>
      <w:r w:rsidR="00633686">
        <w:rPr>
          <w:rFonts w:ascii="Footlight MT Light" w:hAnsi="Footlight MT Light"/>
          <w:bCs/>
          <w:spacing w:val="22"/>
          <w:sz w:val="22"/>
          <w:szCs w:val="22"/>
        </w:rPr>
        <w:t>maximum</w:t>
      </w:r>
      <w:r w:rsidR="00633686" w:rsidRPr="003457AB">
        <w:rPr>
          <w:rFonts w:ascii="Footlight MT Light" w:hAnsi="Footlight MT Light"/>
          <w:bCs/>
          <w:spacing w:val="22"/>
          <w:sz w:val="22"/>
          <w:szCs w:val="22"/>
        </w:rPr>
        <w:t xml:space="preserve"> </w:t>
      </w:r>
      <w:r w:rsidRPr="003457AB">
        <w:rPr>
          <w:rFonts w:ascii="Footlight MT Light" w:hAnsi="Footlight MT Light"/>
          <w:bCs/>
          <w:spacing w:val="22"/>
          <w:sz w:val="22"/>
          <w:szCs w:val="22"/>
        </w:rPr>
        <w:t>sera dressée au terme de la procédure.</w:t>
      </w:r>
    </w:p>
    <w:p w:rsidR="00EB7FA7" w:rsidRPr="00882028" w:rsidRDefault="00EB7FA7" w:rsidP="00EB7FA7">
      <w:pPr>
        <w:tabs>
          <w:tab w:val="left" w:pos="-720"/>
        </w:tabs>
        <w:suppressAutoHyphens/>
        <w:jc w:val="center"/>
        <w:rPr>
          <w:rFonts w:ascii="Footlight MT Light" w:hAnsi="Footlight MT Light"/>
          <w:sz w:val="12"/>
          <w:szCs w:val="12"/>
        </w:rPr>
      </w:pPr>
    </w:p>
    <w:p w:rsidR="00EB7FA7" w:rsidRPr="003457AB" w:rsidRDefault="00EB7FA7" w:rsidP="00EB7FA7">
      <w:pPr>
        <w:pStyle w:val="Corpsdetexte2"/>
        <w:numPr>
          <w:ilvl w:val="0"/>
          <w:numId w:val="1"/>
        </w:numPr>
        <w:tabs>
          <w:tab w:val="left" w:pos="-720"/>
        </w:tabs>
        <w:suppressAutoHyphens/>
        <w:ind w:left="420"/>
        <w:rPr>
          <w:rFonts w:ascii="Footlight MT Light" w:hAnsi="Footlight MT Light"/>
          <w:b w:val="0"/>
          <w:bCs/>
          <w:sz w:val="22"/>
          <w:szCs w:val="22"/>
        </w:rPr>
      </w:pPr>
      <w:r w:rsidRPr="003457AB">
        <w:rPr>
          <w:rFonts w:ascii="Footlight MT Light" w:hAnsi="Footlight MT Light"/>
          <w:b w:val="0"/>
          <w:bCs/>
          <w:sz w:val="22"/>
          <w:szCs w:val="22"/>
        </w:rPr>
        <w:t xml:space="preserve">Les Candidats intéressés sont priés de faire parvenir leur candidature accompagnée des documents prouvant leur expérience dans le </w:t>
      </w:r>
      <w:r w:rsidRPr="003457AB">
        <w:rPr>
          <w:rFonts w:ascii="Footlight MT Light" w:hAnsi="Footlight MT Light"/>
          <w:b w:val="0"/>
          <w:bCs/>
          <w:sz w:val="22"/>
          <w:szCs w:val="22"/>
        </w:rPr>
        <w:lastRenderedPageBreak/>
        <w:t>domaine, les curriculums vitae du personnel clé (avec les diplômes ou attestations), ainsi que les dossiers de références professionnelles et adresse complètes, sous pli fermé portant les mentions suivantes :</w:t>
      </w:r>
    </w:p>
    <w:p w:rsidR="00EB7FA7" w:rsidRPr="005C406B" w:rsidRDefault="00EB7FA7" w:rsidP="00EB7FA7">
      <w:pPr>
        <w:pStyle w:val="Retraitcorpsdetexte2"/>
        <w:spacing w:after="0" w:line="240" w:lineRule="auto"/>
        <w:ind w:left="360"/>
        <w:jc w:val="both"/>
        <w:rPr>
          <w:rFonts w:ascii="Footlight MT Light" w:hAnsi="Footlight MT Light"/>
          <w:bCs/>
        </w:rPr>
      </w:pPr>
    </w:p>
    <w:p w:rsidR="00EB7FA7" w:rsidRPr="003457AB" w:rsidRDefault="00EB7FA7" w:rsidP="00EB7FA7">
      <w:pPr>
        <w:pStyle w:val="Titre3"/>
        <w:jc w:val="both"/>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pPr>
      <w:r w:rsidRPr="003457AB">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  Avis </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à</w:t>
      </w:r>
      <w:r w:rsidRPr="003457AB">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 Manifestation </w:t>
      </w:r>
      <w:r w:rsidRPr="00F949DB">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d’intérêt relatif </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a</w:t>
      </w:r>
      <w:r w:rsidRPr="00F949DB">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ux Services </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d</w:t>
      </w:r>
      <w:r w:rsidRPr="00F949DB">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e Consultants </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p</w:t>
      </w:r>
      <w:r w:rsidRPr="00F949DB">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our </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l</w:t>
      </w:r>
      <w:r w:rsidRPr="00F949DB">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’audit </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comptable et financier </w:t>
      </w:r>
      <w:r w:rsidR="008549C9">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des exercices</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 </w:t>
      </w:r>
      <w:r w:rsidR="00864839">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2018 ; 2019 et 2020</w:t>
      </w:r>
      <w:r w:rsidRPr="00F949DB">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 </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d</w:t>
      </w:r>
      <w:r w:rsidRPr="00F949DB">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u PRODESS</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 III</w:t>
      </w:r>
      <w:r w:rsidRPr="003457AB">
        <w:rPr>
          <w:rFonts w:ascii="Footlight MT Light" w:hAnsi="Footlight MT Light"/>
          <w:b w:val="0"/>
          <w:bCs/>
          <w:caps w:val="0"/>
          <w:smallCaps/>
          <w:sz w:val="22"/>
          <w:szCs w:val="22"/>
          <w14:shadow w14:blurRad="50800" w14:dist="38100" w14:dir="2700000" w14:sx="100000" w14:sy="100000" w14:kx="0" w14:ky="0" w14:algn="tl">
            <w14:srgbClr w14:val="000000">
              <w14:alpha w14:val="60000"/>
            </w14:srgbClr>
          </w14:shadow>
        </w:rPr>
        <w:t>.</w:t>
      </w:r>
    </w:p>
    <w:p w:rsidR="00EB7FA7" w:rsidRPr="000B4D16" w:rsidRDefault="00EB7FA7" w:rsidP="00EB7FA7">
      <w:pPr>
        <w:tabs>
          <w:tab w:val="left" w:pos="-720"/>
        </w:tabs>
        <w:suppressAutoHyphens/>
        <w:jc w:val="center"/>
        <w:rPr>
          <w:rFonts w:ascii="Footlight MT Light" w:hAnsi="Footlight MT Light"/>
          <w:bCs/>
          <w:caps/>
          <w:sz w:val="12"/>
          <w:szCs w:val="12"/>
          <w14:shadow w14:blurRad="50800" w14:dist="38100" w14:dir="2700000" w14:sx="100000" w14:sy="100000" w14:kx="0" w14:ky="0" w14:algn="tl">
            <w14:srgbClr w14:val="000000">
              <w14:alpha w14:val="60000"/>
            </w14:srgbClr>
          </w14:shadow>
        </w:rPr>
      </w:pPr>
    </w:p>
    <w:p w:rsidR="00EB7FA7" w:rsidRPr="00741494" w:rsidRDefault="00EB7FA7" w:rsidP="00EB7FA7">
      <w:pPr>
        <w:pStyle w:val="Titre3"/>
        <w:jc w:val="both"/>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pPr>
      <w:r w:rsidRPr="00741494">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 A Monsieur </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l</w:t>
      </w:r>
      <w:r w:rsidRPr="00741494">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e Directeur </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d</w:t>
      </w:r>
      <w:r w:rsidRPr="00741494">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es Finances </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e</w:t>
      </w:r>
      <w:r w:rsidRPr="00741494">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t </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d</w:t>
      </w:r>
      <w:r w:rsidRPr="00741494">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u Matériel </w:t>
      </w:r>
      <w:r w:rsidR="008549C9">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du Ministère de la Santé et du Développement Social </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 </w:t>
      </w:r>
      <w:r w:rsidRPr="00741494">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N’</w:t>
      </w:r>
      <w:proofErr w:type="spellStart"/>
      <w:r w:rsidRPr="00741494">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Tominkorobougou</w:t>
      </w:r>
      <w:proofErr w:type="spellEnd"/>
      <w:r w:rsidRPr="00741494">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 xml:space="preserve"> BP : 232 - Tel : 20 22 53 61/20 22 20 08 – Fax : 20 23 70 05/20 23 03 25</w:t>
      </w:r>
      <w:r>
        <w:rPr>
          <w:rFonts w:ascii="Footlight MT Light" w:hAnsi="Footlight MT Light"/>
          <w:b w:val="0"/>
          <w:bCs/>
          <w:caps w:val="0"/>
          <w:sz w:val="22"/>
          <w:szCs w:val="22"/>
          <w14:shadow w14:blurRad="50800" w14:dist="38100" w14:dir="2700000" w14:sx="100000" w14:sy="100000" w14:kx="0" w14:ky="0" w14:algn="tl">
            <w14:srgbClr w14:val="000000">
              <w14:alpha w14:val="60000"/>
            </w14:srgbClr>
          </w14:shadow>
        </w:rPr>
        <w:t>.</w:t>
      </w:r>
    </w:p>
    <w:p w:rsidR="00EB7FA7" w:rsidRPr="00741494" w:rsidRDefault="00EB7FA7" w:rsidP="00EB7FA7">
      <w:pPr>
        <w:rPr>
          <w:rFonts w:ascii="Footlight MT Light" w:hAnsi="Footlight MT Light"/>
          <w:bCs/>
          <w:sz w:val="12"/>
          <w:szCs w:val="12"/>
          <w14:shadow w14:blurRad="50800" w14:dist="38100" w14:dir="2700000" w14:sx="100000" w14:sy="100000" w14:kx="0" w14:ky="0" w14:algn="tl">
            <w14:srgbClr w14:val="000000">
              <w14:alpha w14:val="60000"/>
            </w14:srgbClr>
          </w14:shadow>
        </w:rPr>
      </w:pPr>
    </w:p>
    <w:p w:rsidR="00EB7FA7" w:rsidRPr="000B4D16" w:rsidRDefault="00EB7FA7" w:rsidP="00EB7FA7">
      <w:pPr>
        <w:pStyle w:val="Paragraphedeliste"/>
        <w:numPr>
          <w:ilvl w:val="0"/>
          <w:numId w:val="1"/>
        </w:numPr>
        <w:spacing w:line="276" w:lineRule="auto"/>
        <w:ind w:left="420"/>
        <w:jc w:val="both"/>
        <w:rPr>
          <w:rFonts w:ascii="Footlight MT Light" w:hAnsi="Footlight MT Light"/>
          <w:bCs/>
          <w:spacing w:val="22"/>
          <w:sz w:val="22"/>
          <w:szCs w:val="22"/>
        </w:rPr>
      </w:pPr>
      <w:r w:rsidRPr="000B4D16">
        <w:rPr>
          <w:rFonts w:ascii="Footlight MT Light" w:hAnsi="Footlight MT Light"/>
          <w:bCs/>
          <w:spacing w:val="22"/>
          <w:sz w:val="22"/>
          <w:szCs w:val="22"/>
        </w:rPr>
        <w:t xml:space="preserve">Les dossiers doivent parvenir au plus tard le </w:t>
      </w:r>
      <w:r w:rsidR="00AD47B9">
        <w:rPr>
          <w:rFonts w:ascii="Footlight MT Light" w:hAnsi="Footlight MT Light"/>
          <w:bCs/>
          <w:spacing w:val="22"/>
          <w:sz w:val="22"/>
          <w:szCs w:val="22"/>
        </w:rPr>
        <w:t>02 mars 2021</w:t>
      </w:r>
      <w:r w:rsidRPr="000B4D16">
        <w:rPr>
          <w:rFonts w:ascii="Footlight MT Light" w:hAnsi="Footlight MT Light"/>
          <w:bCs/>
          <w:spacing w:val="22"/>
          <w:sz w:val="22"/>
          <w:szCs w:val="22"/>
        </w:rPr>
        <w:t xml:space="preserve"> à 16 heures à l’adresse suivante : Direction des Finances et du Matériel du Ministère de la Santé et </w:t>
      </w:r>
      <w:r w:rsidR="00AD47B9">
        <w:rPr>
          <w:rFonts w:ascii="Footlight MT Light" w:hAnsi="Footlight MT Light"/>
          <w:bCs/>
          <w:spacing w:val="22"/>
          <w:sz w:val="22"/>
          <w:szCs w:val="22"/>
        </w:rPr>
        <w:t>du Développement Social</w:t>
      </w:r>
      <w:bookmarkStart w:id="0" w:name="_GoBack"/>
      <w:bookmarkEnd w:id="0"/>
      <w:r w:rsidRPr="000B4D16">
        <w:rPr>
          <w:rFonts w:ascii="Footlight MT Light" w:hAnsi="Footlight MT Light"/>
          <w:bCs/>
          <w:spacing w:val="22"/>
          <w:sz w:val="22"/>
          <w:szCs w:val="22"/>
        </w:rPr>
        <w:t xml:space="preserve">, (sise à </w:t>
      </w:r>
      <w:proofErr w:type="spellStart"/>
      <w:r w:rsidRPr="000B4D16">
        <w:rPr>
          <w:rFonts w:ascii="Footlight MT Light" w:hAnsi="Footlight MT Light"/>
          <w:bCs/>
          <w:spacing w:val="22"/>
          <w:sz w:val="22"/>
          <w:szCs w:val="22"/>
        </w:rPr>
        <w:t>Tominkorobougou</w:t>
      </w:r>
      <w:proofErr w:type="spellEnd"/>
      <w:r w:rsidRPr="000B4D16">
        <w:rPr>
          <w:rFonts w:ascii="Footlight MT Light" w:hAnsi="Footlight MT Light"/>
          <w:bCs/>
          <w:spacing w:val="22"/>
          <w:sz w:val="22"/>
          <w:szCs w:val="22"/>
        </w:rPr>
        <w:t>, près de l’OMS et l’INFSS), Bamako (Mali).</w:t>
      </w:r>
    </w:p>
    <w:p w:rsidR="00EB7FA7" w:rsidRPr="005C406B" w:rsidRDefault="00EB7FA7" w:rsidP="00EB7FA7">
      <w:pPr>
        <w:pStyle w:val="Corpsdetexte2"/>
        <w:tabs>
          <w:tab w:val="left" w:pos="-720"/>
        </w:tabs>
        <w:suppressAutoHyphens/>
        <w:rPr>
          <w:rFonts w:ascii="Footlight MT Light" w:hAnsi="Footlight MT Light"/>
          <w:b w:val="0"/>
          <w:bCs/>
          <w:sz w:val="24"/>
          <w:szCs w:val="24"/>
        </w:rPr>
      </w:pPr>
    </w:p>
    <w:p w:rsidR="00EB7FA7" w:rsidRDefault="00EB7FA7" w:rsidP="00EB7FA7">
      <w:pPr>
        <w:rPr>
          <w:rFonts w:ascii="Footlight MT Light" w:hAnsi="Footlight MT Light"/>
        </w:rPr>
      </w:pPr>
    </w:p>
    <w:p w:rsidR="00EB7FA7" w:rsidRDefault="00EB7FA7" w:rsidP="00EB7FA7">
      <w:pPr>
        <w:rPr>
          <w:rFonts w:ascii="Footlight MT Light" w:hAnsi="Footlight MT Light"/>
        </w:rPr>
      </w:pPr>
    </w:p>
    <w:p w:rsidR="00EB7FA7" w:rsidRDefault="00EB7FA7" w:rsidP="00EB7FA7">
      <w:pPr>
        <w:rPr>
          <w:rFonts w:ascii="Footlight MT Light" w:hAnsi="Footlight MT Light"/>
        </w:rPr>
      </w:pPr>
    </w:p>
    <w:p w:rsidR="00254099" w:rsidRDefault="00254099" w:rsidP="00AD47B9">
      <w:pPr>
        <w:pBdr>
          <w:bar w:val="single" w:sz="4" w:color="auto"/>
        </w:pBdr>
        <w:spacing w:line="276" w:lineRule="auto"/>
        <w:jc w:val="both"/>
      </w:pPr>
    </w:p>
    <w:sectPr w:rsidR="00254099" w:rsidSect="00E621A7">
      <w:pgSz w:w="11906" w:h="16838"/>
      <w:pgMar w:top="851" w:right="1797" w:bottom="851"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05CD1"/>
    <w:multiLevelType w:val="hybridMultilevel"/>
    <w:tmpl w:val="ED7EA1D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55735BD0"/>
    <w:multiLevelType w:val="hybridMultilevel"/>
    <w:tmpl w:val="1E363FCA"/>
    <w:lvl w:ilvl="0" w:tplc="356027FE">
      <w:start w:val="2"/>
      <w:numFmt w:val="bullet"/>
      <w:lvlText w:val="-"/>
      <w:lvlJc w:val="left"/>
      <w:pPr>
        <w:ind w:left="1140" w:hanging="360"/>
      </w:pPr>
      <w:rPr>
        <w:rFonts w:ascii="Arial" w:eastAsia="Times New Roman" w:hAnsi="Arial" w:cs="Aria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
    <w:nsid w:val="6E3D6698"/>
    <w:multiLevelType w:val="hybridMultilevel"/>
    <w:tmpl w:val="738E8750"/>
    <w:lvl w:ilvl="0" w:tplc="15E6637E">
      <w:start w:val="1"/>
      <w:numFmt w:val="decimal"/>
      <w:lvlText w:val="%1."/>
      <w:lvlJc w:val="left"/>
      <w:pPr>
        <w:ind w:left="780" w:hanging="4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D197BBD"/>
    <w:multiLevelType w:val="hybridMultilevel"/>
    <w:tmpl w:val="B932335E"/>
    <w:lvl w:ilvl="0" w:tplc="040C0005">
      <w:start w:val="1"/>
      <w:numFmt w:val="bullet"/>
      <w:lvlText w:val=""/>
      <w:lvlJc w:val="left"/>
      <w:pPr>
        <w:ind w:left="780" w:hanging="420"/>
      </w:pPr>
      <w:rPr>
        <w:rFonts w:ascii="Wingdings" w:hAnsi="Wingding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6E"/>
    <w:rsid w:val="00036E2A"/>
    <w:rsid w:val="00254099"/>
    <w:rsid w:val="00633686"/>
    <w:rsid w:val="0063556E"/>
    <w:rsid w:val="008549C9"/>
    <w:rsid w:val="00857024"/>
    <w:rsid w:val="00864839"/>
    <w:rsid w:val="00930FBB"/>
    <w:rsid w:val="009842EA"/>
    <w:rsid w:val="00A60E06"/>
    <w:rsid w:val="00AD47B9"/>
    <w:rsid w:val="00AE1C7A"/>
    <w:rsid w:val="00B73DB9"/>
    <w:rsid w:val="00EB7F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56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63556E"/>
    <w:pPr>
      <w:keepNext/>
      <w:outlineLvl w:val="1"/>
    </w:pPr>
    <w:rPr>
      <w:rFonts w:ascii="Comic Sans MS" w:hAnsi="Comic Sans MS"/>
      <w:b/>
      <w:sz w:val="20"/>
      <w:szCs w:val="20"/>
    </w:rPr>
  </w:style>
  <w:style w:type="paragraph" w:styleId="Titre3">
    <w:name w:val="heading 3"/>
    <w:basedOn w:val="Normal"/>
    <w:next w:val="Normal"/>
    <w:link w:val="Titre3Car"/>
    <w:qFormat/>
    <w:rsid w:val="0063556E"/>
    <w:pPr>
      <w:keepNext/>
      <w:outlineLvl w:val="2"/>
    </w:pPr>
    <w:rPr>
      <w:rFonts w:ascii="Comic Sans MS" w:hAnsi="Comic Sans MS"/>
      <w:b/>
      <w:caps/>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3556E"/>
    <w:rPr>
      <w:rFonts w:ascii="Comic Sans MS" w:eastAsia="Times New Roman" w:hAnsi="Comic Sans MS" w:cs="Times New Roman"/>
      <w:b/>
      <w:sz w:val="20"/>
      <w:szCs w:val="20"/>
      <w:lang w:eastAsia="fr-FR"/>
    </w:rPr>
  </w:style>
  <w:style w:type="character" w:customStyle="1" w:styleId="Titre3Car">
    <w:name w:val="Titre 3 Car"/>
    <w:basedOn w:val="Policepardfaut"/>
    <w:link w:val="Titre3"/>
    <w:rsid w:val="0063556E"/>
    <w:rPr>
      <w:rFonts w:ascii="Comic Sans MS" w:eastAsia="Times New Roman" w:hAnsi="Comic Sans MS" w:cs="Times New Roman"/>
      <w:b/>
      <w:caps/>
      <w:sz w:val="18"/>
      <w:szCs w:val="20"/>
      <w:lang w:eastAsia="fr-FR"/>
    </w:rPr>
  </w:style>
  <w:style w:type="paragraph" w:styleId="Corpsdetexte2">
    <w:name w:val="Body Text 2"/>
    <w:basedOn w:val="Normal"/>
    <w:link w:val="Corpsdetexte2Car"/>
    <w:rsid w:val="0063556E"/>
    <w:pPr>
      <w:jc w:val="both"/>
    </w:pPr>
    <w:rPr>
      <w:rFonts w:ascii="Comic Sans MS" w:hAnsi="Comic Sans MS"/>
      <w:b/>
      <w:spacing w:val="22"/>
      <w:sz w:val="20"/>
      <w:szCs w:val="20"/>
    </w:rPr>
  </w:style>
  <w:style w:type="character" w:customStyle="1" w:styleId="Corpsdetexte2Car">
    <w:name w:val="Corps de texte 2 Car"/>
    <w:basedOn w:val="Policepardfaut"/>
    <w:link w:val="Corpsdetexte2"/>
    <w:rsid w:val="0063556E"/>
    <w:rPr>
      <w:rFonts w:ascii="Comic Sans MS" w:eastAsia="Times New Roman" w:hAnsi="Comic Sans MS" w:cs="Times New Roman"/>
      <w:b/>
      <w:spacing w:val="22"/>
      <w:sz w:val="20"/>
      <w:szCs w:val="20"/>
      <w:lang w:eastAsia="fr-FR"/>
    </w:rPr>
  </w:style>
  <w:style w:type="paragraph" w:styleId="Paragraphedeliste">
    <w:name w:val="List Paragraph"/>
    <w:basedOn w:val="Normal"/>
    <w:uiPriority w:val="34"/>
    <w:qFormat/>
    <w:rsid w:val="0063556E"/>
    <w:pPr>
      <w:ind w:left="720"/>
      <w:contextualSpacing/>
    </w:pPr>
  </w:style>
  <w:style w:type="paragraph" w:styleId="Retraitcorpsdetexte2">
    <w:name w:val="Body Text Indent 2"/>
    <w:basedOn w:val="Normal"/>
    <w:link w:val="Retraitcorpsdetexte2Car"/>
    <w:rsid w:val="00EB7FA7"/>
    <w:pPr>
      <w:spacing w:after="120" w:line="480" w:lineRule="auto"/>
      <w:ind w:left="283"/>
    </w:pPr>
  </w:style>
  <w:style w:type="character" w:customStyle="1" w:styleId="Retraitcorpsdetexte2Car">
    <w:name w:val="Retrait corps de texte 2 Car"/>
    <w:basedOn w:val="Policepardfaut"/>
    <w:link w:val="Retraitcorpsdetexte2"/>
    <w:rsid w:val="00EB7FA7"/>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56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63556E"/>
    <w:pPr>
      <w:keepNext/>
      <w:outlineLvl w:val="1"/>
    </w:pPr>
    <w:rPr>
      <w:rFonts w:ascii="Comic Sans MS" w:hAnsi="Comic Sans MS"/>
      <w:b/>
      <w:sz w:val="20"/>
      <w:szCs w:val="20"/>
    </w:rPr>
  </w:style>
  <w:style w:type="paragraph" w:styleId="Titre3">
    <w:name w:val="heading 3"/>
    <w:basedOn w:val="Normal"/>
    <w:next w:val="Normal"/>
    <w:link w:val="Titre3Car"/>
    <w:qFormat/>
    <w:rsid w:val="0063556E"/>
    <w:pPr>
      <w:keepNext/>
      <w:outlineLvl w:val="2"/>
    </w:pPr>
    <w:rPr>
      <w:rFonts w:ascii="Comic Sans MS" w:hAnsi="Comic Sans MS"/>
      <w:b/>
      <w:caps/>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3556E"/>
    <w:rPr>
      <w:rFonts w:ascii="Comic Sans MS" w:eastAsia="Times New Roman" w:hAnsi="Comic Sans MS" w:cs="Times New Roman"/>
      <w:b/>
      <w:sz w:val="20"/>
      <w:szCs w:val="20"/>
      <w:lang w:eastAsia="fr-FR"/>
    </w:rPr>
  </w:style>
  <w:style w:type="character" w:customStyle="1" w:styleId="Titre3Car">
    <w:name w:val="Titre 3 Car"/>
    <w:basedOn w:val="Policepardfaut"/>
    <w:link w:val="Titre3"/>
    <w:rsid w:val="0063556E"/>
    <w:rPr>
      <w:rFonts w:ascii="Comic Sans MS" w:eastAsia="Times New Roman" w:hAnsi="Comic Sans MS" w:cs="Times New Roman"/>
      <w:b/>
      <w:caps/>
      <w:sz w:val="18"/>
      <w:szCs w:val="20"/>
      <w:lang w:eastAsia="fr-FR"/>
    </w:rPr>
  </w:style>
  <w:style w:type="paragraph" w:styleId="Corpsdetexte2">
    <w:name w:val="Body Text 2"/>
    <w:basedOn w:val="Normal"/>
    <w:link w:val="Corpsdetexte2Car"/>
    <w:rsid w:val="0063556E"/>
    <w:pPr>
      <w:jc w:val="both"/>
    </w:pPr>
    <w:rPr>
      <w:rFonts w:ascii="Comic Sans MS" w:hAnsi="Comic Sans MS"/>
      <w:b/>
      <w:spacing w:val="22"/>
      <w:sz w:val="20"/>
      <w:szCs w:val="20"/>
    </w:rPr>
  </w:style>
  <w:style w:type="character" w:customStyle="1" w:styleId="Corpsdetexte2Car">
    <w:name w:val="Corps de texte 2 Car"/>
    <w:basedOn w:val="Policepardfaut"/>
    <w:link w:val="Corpsdetexte2"/>
    <w:rsid w:val="0063556E"/>
    <w:rPr>
      <w:rFonts w:ascii="Comic Sans MS" w:eastAsia="Times New Roman" w:hAnsi="Comic Sans MS" w:cs="Times New Roman"/>
      <w:b/>
      <w:spacing w:val="22"/>
      <w:sz w:val="20"/>
      <w:szCs w:val="20"/>
      <w:lang w:eastAsia="fr-FR"/>
    </w:rPr>
  </w:style>
  <w:style w:type="paragraph" w:styleId="Paragraphedeliste">
    <w:name w:val="List Paragraph"/>
    <w:basedOn w:val="Normal"/>
    <w:uiPriority w:val="34"/>
    <w:qFormat/>
    <w:rsid w:val="0063556E"/>
    <w:pPr>
      <w:ind w:left="720"/>
      <w:contextualSpacing/>
    </w:pPr>
  </w:style>
  <w:style w:type="paragraph" w:styleId="Retraitcorpsdetexte2">
    <w:name w:val="Body Text Indent 2"/>
    <w:basedOn w:val="Normal"/>
    <w:link w:val="Retraitcorpsdetexte2Car"/>
    <w:rsid w:val="00EB7FA7"/>
    <w:pPr>
      <w:spacing w:after="120" w:line="480" w:lineRule="auto"/>
      <w:ind w:left="283"/>
    </w:pPr>
  </w:style>
  <w:style w:type="character" w:customStyle="1" w:styleId="Retraitcorpsdetexte2Car">
    <w:name w:val="Retrait corps de texte 2 Car"/>
    <w:basedOn w:val="Policepardfaut"/>
    <w:link w:val="Retraitcorpsdetexte2"/>
    <w:rsid w:val="00EB7FA7"/>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623</Words>
  <Characters>3430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2021-02-10T13:09:00Z</dcterms:created>
  <dcterms:modified xsi:type="dcterms:W3CDTF">2021-02-10T13:38:00Z</dcterms:modified>
</cp:coreProperties>
</file>