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887" w:rsidRPr="00CB773C" w:rsidRDefault="00D21887" w:rsidP="00D21887">
      <w:pPr>
        <w:jc w:val="center"/>
        <w:rPr>
          <w:rFonts w:ascii="Arial Black" w:hAnsi="Arial Black"/>
          <w:bCs/>
          <w:caps/>
          <w:spacing w:val="-3"/>
          <w:sz w:val="32"/>
          <w:szCs w:val="32"/>
          <w:lang w:val="fr-CA"/>
        </w:rPr>
      </w:pPr>
      <w:r w:rsidRPr="00CB773C">
        <w:rPr>
          <w:rFonts w:ascii="Arial Black" w:eastAsia="Batang" w:hAnsi="Arial Black" w:cs="Verdana"/>
          <w:b/>
          <w:bCs/>
          <w:sz w:val="32"/>
          <w:szCs w:val="32"/>
        </w:rPr>
        <w:t xml:space="preserve">INSTITUT DE PEDAGOGIE UNIVERSITAIRE (IPU) </w:t>
      </w:r>
    </w:p>
    <w:p w:rsidR="00D21887" w:rsidRPr="00CB773C" w:rsidRDefault="00D21887" w:rsidP="00D21887">
      <w:pPr>
        <w:pStyle w:val="Titre4"/>
        <w:spacing w:after="0"/>
        <w:ind w:left="-567" w:right="-215"/>
        <w:jc w:val="center"/>
        <w:rPr>
          <w:rFonts w:ascii="Bernard MT Condensed" w:hAnsi="Bernard MT Condensed" w:cs="Verdana"/>
          <w:bCs/>
          <w:sz w:val="28"/>
          <w:szCs w:val="28"/>
          <w:lang w:val="fr-FR"/>
        </w:rPr>
      </w:pPr>
      <w:r w:rsidRPr="00CB773C">
        <w:rPr>
          <w:rFonts w:ascii="Bernard MT Condensed" w:hAnsi="Bernard MT Condensed" w:cs="Verdana"/>
          <w:bCs/>
          <w:sz w:val="28"/>
          <w:szCs w:val="28"/>
          <w:lang w:val="fr-FR"/>
        </w:rPr>
        <w:t xml:space="preserve">Dossier d’Appel d’Offres Ouvert </w:t>
      </w:r>
      <w:proofErr w:type="gramStart"/>
      <w:r w:rsidRPr="00CB773C">
        <w:rPr>
          <w:rFonts w:ascii="Bernard MT Condensed" w:hAnsi="Bernard MT Condensed" w:cs="Verdana"/>
          <w:bCs/>
          <w:sz w:val="28"/>
          <w:szCs w:val="28"/>
          <w:lang w:val="fr-FR"/>
        </w:rPr>
        <w:t>( DAOO</w:t>
      </w:r>
      <w:proofErr w:type="gramEnd"/>
      <w:r w:rsidRPr="00CB773C">
        <w:rPr>
          <w:rFonts w:ascii="Bernard MT Condensed" w:hAnsi="Bernard MT Condensed" w:cs="Verdana"/>
          <w:bCs/>
          <w:sz w:val="28"/>
          <w:szCs w:val="28"/>
          <w:lang w:val="fr-FR"/>
        </w:rPr>
        <w:t>) n°0459/F2021</w:t>
      </w:r>
    </w:p>
    <w:p w:rsidR="00D21887" w:rsidRPr="00733189" w:rsidRDefault="00D21887" w:rsidP="00D21887">
      <w:pPr>
        <w:jc w:val="center"/>
        <w:rPr>
          <w:b/>
          <w:bCs/>
          <w:i/>
          <w:iCs/>
        </w:rPr>
      </w:pPr>
    </w:p>
    <w:p w:rsidR="00D21887" w:rsidRPr="00733189" w:rsidRDefault="00D21887" w:rsidP="00D21887">
      <w:pPr>
        <w:pStyle w:val="Paragraphedeliste"/>
        <w:numPr>
          <w:ilvl w:val="6"/>
          <w:numId w:val="1"/>
        </w:numPr>
        <w:spacing w:after="200" w:line="276" w:lineRule="auto"/>
        <w:ind w:right="142" w:hanging="600"/>
        <w:rPr>
          <w:b/>
          <w:i/>
          <w:szCs w:val="24"/>
        </w:rPr>
      </w:pPr>
      <w:r w:rsidRPr="00733189">
        <w:rPr>
          <w:szCs w:val="24"/>
        </w:rPr>
        <w:t xml:space="preserve">Cet Avis d’appel d’offres fait suite à l’Avis Général de Passation des Marchés </w:t>
      </w:r>
      <w:r w:rsidRPr="00733189">
        <w:t xml:space="preserve">paru dans le quotidien National </w:t>
      </w:r>
      <w:r w:rsidRPr="00733189">
        <w:rPr>
          <w:b/>
          <w:i/>
        </w:rPr>
        <w:t>ESSOR N°19279 du 03 novembre 2020.</w:t>
      </w:r>
    </w:p>
    <w:p w:rsidR="00D21887" w:rsidRPr="00FD2961" w:rsidRDefault="00D21887" w:rsidP="00D21887">
      <w:pPr>
        <w:pStyle w:val="Paragraphedeliste"/>
        <w:spacing w:after="200" w:line="276" w:lineRule="auto"/>
        <w:ind w:left="600" w:right="142"/>
        <w:rPr>
          <w:b/>
          <w:szCs w:val="24"/>
        </w:rPr>
      </w:pPr>
    </w:p>
    <w:p w:rsidR="00D21887" w:rsidRPr="00FD2961" w:rsidRDefault="00D21887" w:rsidP="00D21887">
      <w:pPr>
        <w:pStyle w:val="Paragraphedeliste"/>
        <w:numPr>
          <w:ilvl w:val="6"/>
          <w:numId w:val="1"/>
        </w:numPr>
        <w:spacing w:after="200" w:line="276" w:lineRule="auto"/>
        <w:ind w:right="142" w:hanging="600"/>
        <w:jc w:val="both"/>
        <w:rPr>
          <w:b/>
          <w:szCs w:val="24"/>
        </w:rPr>
      </w:pPr>
      <w:r>
        <w:rPr>
          <w:szCs w:val="24"/>
        </w:rPr>
        <w:t>L’Institut de Pédagogie Universitaire (IPU)</w:t>
      </w:r>
      <w:r w:rsidRPr="00FD2961">
        <w:rPr>
          <w:bCs/>
          <w:iCs/>
          <w:szCs w:val="24"/>
        </w:rPr>
        <w:t xml:space="preserve"> </w:t>
      </w:r>
      <w:r w:rsidRPr="00FD2961">
        <w:rPr>
          <w:iCs/>
          <w:szCs w:val="24"/>
        </w:rPr>
        <w:t xml:space="preserve">dispose de </w:t>
      </w:r>
      <w:r w:rsidRPr="00FD2961">
        <w:rPr>
          <w:szCs w:val="24"/>
        </w:rPr>
        <w:t xml:space="preserve">fonds sur le budget de l’État, afin de financer </w:t>
      </w:r>
      <w:r w:rsidRPr="00FD2961">
        <w:rPr>
          <w:i/>
          <w:iCs/>
          <w:szCs w:val="24"/>
        </w:rPr>
        <w:t xml:space="preserve">le projet </w:t>
      </w:r>
      <w:r w:rsidRPr="00FD2961">
        <w:rPr>
          <w:szCs w:val="24"/>
        </w:rPr>
        <w:t xml:space="preserve">relatif à </w:t>
      </w:r>
      <w:r>
        <w:rPr>
          <w:szCs w:val="24"/>
        </w:rPr>
        <w:t xml:space="preserve">l’acquisition de </w:t>
      </w:r>
      <w:r w:rsidRPr="00FD2961">
        <w:rPr>
          <w:rFonts w:eastAsia="Batang"/>
          <w:bCs/>
          <w:szCs w:val="24"/>
        </w:rPr>
        <w:t xml:space="preserve">véhicules pour l’IPU en </w:t>
      </w:r>
      <w:r>
        <w:rPr>
          <w:rFonts w:eastAsia="Batang"/>
          <w:bCs/>
          <w:szCs w:val="24"/>
        </w:rPr>
        <w:t>deux (02)</w:t>
      </w:r>
      <w:r w:rsidRPr="00FD2961">
        <w:rPr>
          <w:rFonts w:eastAsia="Batang"/>
          <w:bCs/>
          <w:szCs w:val="24"/>
        </w:rPr>
        <w:t xml:space="preserve"> lots distincts </w:t>
      </w:r>
      <w:r w:rsidRPr="00FD2961">
        <w:rPr>
          <w:szCs w:val="24"/>
        </w:rPr>
        <w:t>et à l’intention d’utiliser une partie de ces fonds pour effectuer des paiements au titre du Marché.</w:t>
      </w:r>
    </w:p>
    <w:p w:rsidR="00D21887" w:rsidRPr="00FD2961" w:rsidRDefault="00D21887" w:rsidP="00D21887">
      <w:pPr>
        <w:pStyle w:val="Paragraphedeliste"/>
        <w:rPr>
          <w:b/>
          <w:szCs w:val="24"/>
        </w:rPr>
      </w:pPr>
    </w:p>
    <w:p w:rsidR="00D21887" w:rsidRPr="00BF6C0D" w:rsidRDefault="00D21887" w:rsidP="00D21887">
      <w:pPr>
        <w:pStyle w:val="Paragraphedeliste"/>
        <w:numPr>
          <w:ilvl w:val="6"/>
          <w:numId w:val="1"/>
        </w:numPr>
        <w:spacing w:after="200"/>
        <w:ind w:right="142" w:hanging="600"/>
        <w:jc w:val="both"/>
      </w:pPr>
      <w:r>
        <w:rPr>
          <w:szCs w:val="24"/>
        </w:rPr>
        <w:t>L’IPU</w:t>
      </w:r>
      <w:r w:rsidRPr="00CC442F">
        <w:rPr>
          <w:szCs w:val="24"/>
        </w:rPr>
        <w:t xml:space="preserve"> sollicite des offres fermées de la part de candidats éligibles et répondant aux qualifications requises pour la prestation de services suivante: </w:t>
      </w:r>
      <w:r>
        <w:rPr>
          <w:szCs w:val="24"/>
        </w:rPr>
        <w:t>A</w:t>
      </w:r>
      <w:r w:rsidRPr="001C562F">
        <w:rPr>
          <w:szCs w:val="24"/>
        </w:rPr>
        <w:t>c</w:t>
      </w:r>
      <w:r>
        <w:rPr>
          <w:szCs w:val="24"/>
        </w:rPr>
        <w:t xml:space="preserve">quisition de </w:t>
      </w:r>
      <w:r>
        <w:rPr>
          <w:rFonts w:eastAsia="Batang"/>
          <w:bCs/>
          <w:szCs w:val="24"/>
        </w:rPr>
        <w:t xml:space="preserve"> véhicules pour l’</w:t>
      </w:r>
      <w:r w:rsidRPr="001C562F">
        <w:rPr>
          <w:rFonts w:eastAsia="Batang"/>
          <w:bCs/>
          <w:szCs w:val="24"/>
        </w:rPr>
        <w:t xml:space="preserve">IPU en </w:t>
      </w:r>
      <w:r>
        <w:rPr>
          <w:rFonts w:eastAsia="Batang"/>
          <w:bCs/>
          <w:szCs w:val="24"/>
        </w:rPr>
        <w:t xml:space="preserve">deux </w:t>
      </w:r>
      <w:r w:rsidRPr="001C562F">
        <w:rPr>
          <w:rFonts w:eastAsia="Batang"/>
          <w:bCs/>
          <w:szCs w:val="24"/>
        </w:rPr>
        <w:t xml:space="preserve"> lots distincts </w:t>
      </w:r>
      <w:r>
        <w:rPr>
          <w:szCs w:val="24"/>
        </w:rPr>
        <w:t>:</w:t>
      </w:r>
    </w:p>
    <w:p w:rsidR="00D21887" w:rsidRDefault="00D21887" w:rsidP="00D21887">
      <w:pPr>
        <w:pStyle w:val="Paragraphedeliste"/>
      </w:pPr>
    </w:p>
    <w:p w:rsidR="00D21887" w:rsidRPr="00BF6C0D" w:rsidRDefault="00D21887" w:rsidP="00D21887">
      <w:pPr>
        <w:pStyle w:val="Paragraphedeliste"/>
        <w:numPr>
          <w:ilvl w:val="0"/>
          <w:numId w:val="3"/>
        </w:numPr>
        <w:spacing w:line="276" w:lineRule="auto"/>
        <w:ind w:left="709" w:hanging="283"/>
        <w:jc w:val="both"/>
        <w:rPr>
          <w:iCs/>
          <w:sz w:val="23"/>
          <w:szCs w:val="23"/>
        </w:rPr>
      </w:pPr>
      <w:r w:rsidRPr="00BF6C0D">
        <w:rPr>
          <w:iCs/>
          <w:sz w:val="23"/>
          <w:szCs w:val="23"/>
        </w:rPr>
        <w:t xml:space="preserve">Lot1 : </w:t>
      </w:r>
      <w:r>
        <w:rPr>
          <w:iCs/>
          <w:sz w:val="23"/>
          <w:szCs w:val="23"/>
        </w:rPr>
        <w:t xml:space="preserve">Acquisition </w:t>
      </w:r>
      <w:r w:rsidRPr="00BF6C0D">
        <w:rPr>
          <w:iCs/>
          <w:sz w:val="23"/>
          <w:szCs w:val="23"/>
        </w:rPr>
        <w:t xml:space="preserve">de véhicule station Wagon 4X4 tout terrain; </w:t>
      </w:r>
    </w:p>
    <w:p w:rsidR="00D21887" w:rsidRPr="00BF6C0D" w:rsidRDefault="00D21887" w:rsidP="00D21887">
      <w:pPr>
        <w:pStyle w:val="Paragraphedeliste"/>
        <w:numPr>
          <w:ilvl w:val="0"/>
          <w:numId w:val="3"/>
        </w:numPr>
        <w:spacing w:line="276" w:lineRule="auto"/>
        <w:ind w:left="709" w:hanging="283"/>
        <w:jc w:val="both"/>
        <w:rPr>
          <w:iCs/>
          <w:szCs w:val="24"/>
        </w:rPr>
      </w:pPr>
      <w:r w:rsidRPr="00BF6C0D">
        <w:rPr>
          <w:iCs/>
          <w:szCs w:val="24"/>
        </w:rPr>
        <w:t xml:space="preserve">Lot2 : </w:t>
      </w:r>
      <w:r>
        <w:rPr>
          <w:iCs/>
          <w:szCs w:val="24"/>
        </w:rPr>
        <w:t>Acquisition</w:t>
      </w:r>
      <w:r w:rsidRPr="00BF6C0D">
        <w:rPr>
          <w:iCs/>
          <w:szCs w:val="24"/>
        </w:rPr>
        <w:t xml:space="preserve"> de vé</w:t>
      </w:r>
      <w:r>
        <w:rPr>
          <w:iCs/>
          <w:szCs w:val="24"/>
        </w:rPr>
        <w:t>hicule PICK UP 4X4 tout terrain</w:t>
      </w:r>
      <w:r w:rsidRPr="00BF6C0D">
        <w:rPr>
          <w:iCs/>
          <w:szCs w:val="24"/>
        </w:rPr>
        <w:t xml:space="preserve"> ; </w:t>
      </w:r>
    </w:p>
    <w:p w:rsidR="00D21887" w:rsidRDefault="00D21887" w:rsidP="00D21887">
      <w:pPr>
        <w:suppressAutoHyphens/>
        <w:ind w:left="600"/>
        <w:jc w:val="both"/>
        <w:rPr>
          <w:b/>
          <w:sz w:val="22"/>
          <w:szCs w:val="22"/>
        </w:rPr>
      </w:pPr>
    </w:p>
    <w:p w:rsidR="00D21887" w:rsidRDefault="00D21887" w:rsidP="00D21887">
      <w:pPr>
        <w:pStyle w:val="Paragraphedeliste"/>
        <w:spacing w:after="200"/>
        <w:ind w:left="600" w:right="142"/>
        <w:jc w:val="both"/>
        <w:rPr>
          <w:b/>
          <w:sz w:val="22"/>
          <w:szCs w:val="22"/>
        </w:rPr>
      </w:pPr>
      <w:r w:rsidRPr="003A550D">
        <w:rPr>
          <w:b/>
          <w:sz w:val="22"/>
          <w:szCs w:val="22"/>
        </w:rPr>
        <w:t>Chaque candidat peut soumis</w:t>
      </w:r>
      <w:r>
        <w:rPr>
          <w:b/>
          <w:sz w:val="22"/>
          <w:szCs w:val="22"/>
        </w:rPr>
        <w:t xml:space="preserve">sionner pour un (01) ou les deux </w:t>
      </w:r>
      <w:r w:rsidRPr="003A550D">
        <w:rPr>
          <w:b/>
          <w:sz w:val="22"/>
          <w:szCs w:val="22"/>
        </w:rPr>
        <w:t xml:space="preserve"> (0</w:t>
      </w:r>
      <w:r>
        <w:rPr>
          <w:b/>
          <w:sz w:val="22"/>
          <w:szCs w:val="22"/>
        </w:rPr>
        <w:t>2</w:t>
      </w:r>
      <w:r w:rsidRPr="003A550D">
        <w:rPr>
          <w:b/>
          <w:sz w:val="22"/>
          <w:szCs w:val="22"/>
        </w:rPr>
        <w:t xml:space="preserve">) lots </w:t>
      </w:r>
      <w:r>
        <w:rPr>
          <w:b/>
          <w:sz w:val="22"/>
          <w:szCs w:val="22"/>
        </w:rPr>
        <w:t xml:space="preserve">mais ne peut être attributaire de plus </w:t>
      </w:r>
      <w:r w:rsidRPr="00CB773C">
        <w:rPr>
          <w:b/>
          <w:sz w:val="22"/>
          <w:szCs w:val="22"/>
        </w:rPr>
        <w:t xml:space="preserve">d’un (01) </w:t>
      </w:r>
      <w:proofErr w:type="gramStart"/>
      <w:r w:rsidRPr="00CB773C">
        <w:rPr>
          <w:b/>
          <w:sz w:val="22"/>
          <w:szCs w:val="22"/>
        </w:rPr>
        <w:t>lots</w:t>
      </w:r>
      <w:proofErr w:type="gramEnd"/>
      <w:r w:rsidRPr="00CB773C">
        <w:rPr>
          <w:b/>
          <w:sz w:val="22"/>
          <w:szCs w:val="22"/>
        </w:rPr>
        <w:t xml:space="preserve">. </w:t>
      </w:r>
      <w:r>
        <w:rPr>
          <w:b/>
          <w:sz w:val="22"/>
          <w:szCs w:val="22"/>
        </w:rPr>
        <w:t>L’autorité contractante utilisera la combinaison la plus avantageuse pour elle.</w:t>
      </w:r>
    </w:p>
    <w:p w:rsidR="00D21887" w:rsidRDefault="00D21887" w:rsidP="00D21887">
      <w:pPr>
        <w:pStyle w:val="Paragraphedeliste"/>
        <w:spacing w:after="200"/>
        <w:ind w:left="600" w:right="142"/>
        <w:jc w:val="both"/>
      </w:pPr>
    </w:p>
    <w:p w:rsidR="00D21887" w:rsidRDefault="00D21887" w:rsidP="00D21887">
      <w:pPr>
        <w:pStyle w:val="Paragraphedeliste"/>
        <w:numPr>
          <w:ilvl w:val="6"/>
          <w:numId w:val="1"/>
        </w:numPr>
        <w:spacing w:before="120" w:after="120"/>
        <w:ind w:right="142"/>
        <w:jc w:val="both"/>
      </w:pPr>
      <w:r w:rsidRPr="00284D75">
        <w:t xml:space="preserve">La </w:t>
      </w:r>
      <w:r w:rsidRPr="004339EE">
        <w:t>Demande de Renseignement de Prix à compétition</w:t>
      </w:r>
      <w:r>
        <w:t xml:space="preserve"> Ouverte aménagé à l’article 24 de l’arrêté n°2015-3721/MEF-SG du 22 octobre 2015 fixant les modalités d’application du Code des Marchés publics et des Délégations de Service Public. </w:t>
      </w:r>
    </w:p>
    <w:p w:rsidR="00D21887" w:rsidRDefault="00D21887" w:rsidP="00D21887">
      <w:pPr>
        <w:pStyle w:val="Paragraphedeliste"/>
        <w:spacing w:before="120" w:after="120"/>
        <w:ind w:left="600" w:right="142"/>
        <w:jc w:val="both"/>
      </w:pPr>
    </w:p>
    <w:p w:rsidR="00D21887" w:rsidRPr="00D32ECC" w:rsidRDefault="00D21887" w:rsidP="00D21887">
      <w:pPr>
        <w:pStyle w:val="Paragraphedeliste"/>
        <w:numPr>
          <w:ilvl w:val="6"/>
          <w:numId w:val="1"/>
        </w:numPr>
        <w:spacing w:before="120" w:after="120"/>
        <w:ind w:right="142"/>
        <w:jc w:val="both"/>
      </w:pPr>
      <w:r w:rsidRPr="00D32ECC">
        <w:t>Les candidats intéressés peuvent</w:t>
      </w:r>
      <w:r>
        <w:t xml:space="preserve"> obtenir des informations auprès du service des finances de l’IPU</w:t>
      </w:r>
      <w:r w:rsidRPr="000317F0">
        <w:rPr>
          <w:sz w:val="23"/>
          <w:szCs w:val="23"/>
        </w:rPr>
        <w:t xml:space="preserve">, sis à Cité Universitaire de Kabala, </w:t>
      </w:r>
      <w:r w:rsidRPr="000317F0">
        <w:rPr>
          <w:color w:val="0000FF"/>
          <w:sz w:val="22"/>
          <w:szCs w:val="22"/>
        </w:rPr>
        <w:t>.</w:t>
      </w:r>
      <w:r w:rsidRPr="000317F0">
        <w:rPr>
          <w:sz w:val="23"/>
          <w:szCs w:val="23"/>
        </w:rPr>
        <w:t>Tel : 20 70 77 70</w:t>
      </w:r>
      <w:r>
        <w:rPr>
          <w:sz w:val="23"/>
          <w:szCs w:val="23"/>
        </w:rPr>
        <w:t>/20 70 77 73</w:t>
      </w:r>
      <w:r w:rsidRPr="000317F0">
        <w:rPr>
          <w:sz w:val="23"/>
          <w:szCs w:val="23"/>
        </w:rPr>
        <w:t>/</w:t>
      </w:r>
      <w:r>
        <w:rPr>
          <w:sz w:val="23"/>
          <w:szCs w:val="23"/>
        </w:rPr>
        <w:t>66.84.84.61</w:t>
      </w:r>
      <w:r w:rsidRPr="000317F0">
        <w:rPr>
          <w:sz w:val="23"/>
          <w:szCs w:val="23"/>
        </w:rPr>
        <w:t>/76.84.84.61</w:t>
      </w:r>
      <w:r w:rsidRPr="00652823">
        <w:t xml:space="preserve"> et prendre connaissance d</w:t>
      </w:r>
      <w:r>
        <w:t>u dossier</w:t>
      </w:r>
      <w:r w:rsidRPr="00652823">
        <w:t xml:space="preserve"> d’Appel </w:t>
      </w:r>
      <w:r>
        <w:t xml:space="preserve"> à concurrence </w:t>
      </w:r>
      <w:r w:rsidRPr="00652823">
        <w:t xml:space="preserve">à l’adresse mentionnée ci-après : </w:t>
      </w:r>
      <w:r>
        <w:t>Service des finances de l’IPU</w:t>
      </w:r>
      <w:r w:rsidRPr="000317F0">
        <w:rPr>
          <w:sz w:val="23"/>
          <w:szCs w:val="23"/>
        </w:rPr>
        <w:t xml:space="preserve"> tous les jours du lundi au jeudi de 7h30 à 16h et le vendredi de 07h30 à 17h30min.</w:t>
      </w:r>
      <w:r w:rsidRPr="00D32ECC">
        <w:t xml:space="preserve"> </w:t>
      </w:r>
    </w:p>
    <w:p w:rsidR="00D21887" w:rsidRPr="00B34223" w:rsidRDefault="00D21887" w:rsidP="00D21887">
      <w:pPr>
        <w:pStyle w:val="Paragraphedeliste"/>
        <w:ind w:left="601" w:right="142"/>
        <w:jc w:val="both"/>
        <w:rPr>
          <w:iCs/>
          <w:szCs w:val="24"/>
        </w:rPr>
      </w:pPr>
    </w:p>
    <w:p w:rsidR="00D21887" w:rsidRPr="00B34223" w:rsidRDefault="00D21887" w:rsidP="00D21887">
      <w:pPr>
        <w:pStyle w:val="Paragraphedeliste"/>
        <w:numPr>
          <w:ilvl w:val="6"/>
          <w:numId w:val="1"/>
        </w:numPr>
        <w:spacing w:after="200"/>
        <w:ind w:right="142" w:hanging="600"/>
        <w:jc w:val="both"/>
        <w:rPr>
          <w:iCs/>
          <w:szCs w:val="24"/>
        </w:rPr>
      </w:pPr>
      <w:r w:rsidRPr="00B34223">
        <w:rPr>
          <w:szCs w:val="24"/>
        </w:rPr>
        <w:t xml:space="preserve">Les exigences en matière de qualifications sont : Les conditions de qualification applicables aux Soumissionnaires sont les suivantes : </w:t>
      </w:r>
    </w:p>
    <w:p w:rsidR="00D21887" w:rsidRPr="00C635D4" w:rsidRDefault="00D21887" w:rsidP="00D21887">
      <w:pPr>
        <w:spacing w:after="200"/>
        <w:ind w:left="540" w:hanging="540"/>
        <w:jc w:val="both"/>
        <w:rPr>
          <w:b/>
          <w:szCs w:val="24"/>
        </w:rPr>
      </w:pPr>
      <w:r w:rsidRPr="001F6C0A">
        <w:rPr>
          <w:b/>
          <w:sz w:val="22"/>
          <w:szCs w:val="22"/>
          <w:u w:val="single"/>
        </w:rPr>
        <w:t>Capacité financière</w:t>
      </w:r>
      <w:r w:rsidRPr="003A6987">
        <w:rPr>
          <w:b/>
          <w:sz w:val="22"/>
          <w:szCs w:val="22"/>
        </w:rPr>
        <w:t xml:space="preserve"> : </w:t>
      </w:r>
      <w:r w:rsidRPr="00C635D4">
        <w:rPr>
          <w:szCs w:val="24"/>
        </w:rPr>
        <w:t>Le Soumissionnaire doit fournir la preuve écrite qu’il satisfait aux exigences ci-après :</w:t>
      </w:r>
    </w:p>
    <w:p w:rsidR="00D21887" w:rsidRPr="00C635D4" w:rsidRDefault="00D21887" w:rsidP="00D21887">
      <w:pPr>
        <w:pStyle w:val="Paragraphedeliste"/>
        <w:numPr>
          <w:ilvl w:val="0"/>
          <w:numId w:val="2"/>
        </w:numPr>
        <w:spacing w:after="200"/>
        <w:jc w:val="both"/>
        <w:rPr>
          <w:b/>
          <w:szCs w:val="24"/>
        </w:rPr>
      </w:pPr>
      <w:r w:rsidRPr="00C635D4">
        <w:rPr>
          <w:szCs w:val="24"/>
        </w:rPr>
        <w:t xml:space="preserve">Bilans, extraits de bilans et comptes d’exploitation des années </w:t>
      </w:r>
      <w:r w:rsidRPr="00C635D4">
        <w:rPr>
          <w:b/>
          <w:szCs w:val="24"/>
        </w:rPr>
        <w:t>201</w:t>
      </w:r>
      <w:r>
        <w:rPr>
          <w:b/>
          <w:szCs w:val="24"/>
        </w:rPr>
        <w:t>7</w:t>
      </w:r>
      <w:r w:rsidRPr="00C635D4">
        <w:rPr>
          <w:b/>
          <w:szCs w:val="24"/>
        </w:rPr>
        <w:t>,</w:t>
      </w:r>
      <w:r>
        <w:rPr>
          <w:b/>
          <w:szCs w:val="24"/>
        </w:rPr>
        <w:t xml:space="preserve"> </w:t>
      </w:r>
      <w:r w:rsidRPr="00C635D4">
        <w:rPr>
          <w:b/>
          <w:szCs w:val="24"/>
        </w:rPr>
        <w:t>201</w:t>
      </w:r>
      <w:r>
        <w:rPr>
          <w:b/>
          <w:szCs w:val="24"/>
        </w:rPr>
        <w:t>8</w:t>
      </w:r>
      <w:r w:rsidRPr="00C635D4">
        <w:rPr>
          <w:szCs w:val="24"/>
        </w:rPr>
        <w:t xml:space="preserve"> et </w:t>
      </w:r>
      <w:r w:rsidRPr="00C635D4">
        <w:rPr>
          <w:b/>
          <w:szCs w:val="24"/>
        </w:rPr>
        <w:t>201</w:t>
      </w:r>
      <w:r>
        <w:rPr>
          <w:b/>
          <w:szCs w:val="24"/>
        </w:rPr>
        <w:t>9</w:t>
      </w:r>
      <w:r w:rsidRPr="00C635D4">
        <w:rPr>
          <w:szCs w:val="24"/>
        </w:rPr>
        <w:t xml:space="preserve"> certifiés par un  expert-comptable ou attestés par un comptable agréé inscrit à l’ordre et sur ces bilans doit figurer la mention suivante apposée par le service compétent des impôts « bilans ou extrait de bilans conformes aux déclarations souscrites au service des impôts » ;</w:t>
      </w:r>
    </w:p>
    <w:p w:rsidR="00D21887" w:rsidRPr="00C635D4" w:rsidRDefault="00D21887" w:rsidP="00D21887">
      <w:pPr>
        <w:pStyle w:val="Paragraphedeliste"/>
        <w:numPr>
          <w:ilvl w:val="0"/>
          <w:numId w:val="2"/>
        </w:numPr>
        <w:suppressAutoHyphens/>
        <w:autoSpaceDN w:val="0"/>
        <w:ind w:right="533"/>
        <w:jc w:val="both"/>
        <w:rPr>
          <w:szCs w:val="24"/>
        </w:rPr>
      </w:pPr>
      <w:r w:rsidRPr="00C635D4">
        <w:rPr>
          <w:szCs w:val="24"/>
        </w:rPr>
        <w:t xml:space="preserve">Chiffre d’Affaires moyen des années </w:t>
      </w:r>
      <w:r w:rsidRPr="00C635D4">
        <w:rPr>
          <w:b/>
          <w:szCs w:val="24"/>
        </w:rPr>
        <w:t>201</w:t>
      </w:r>
      <w:r>
        <w:rPr>
          <w:b/>
          <w:szCs w:val="24"/>
        </w:rPr>
        <w:t>7</w:t>
      </w:r>
      <w:r w:rsidRPr="00C635D4">
        <w:rPr>
          <w:b/>
          <w:szCs w:val="24"/>
        </w:rPr>
        <w:t>,</w:t>
      </w:r>
      <w:r>
        <w:rPr>
          <w:b/>
          <w:szCs w:val="24"/>
        </w:rPr>
        <w:t xml:space="preserve"> </w:t>
      </w:r>
      <w:r w:rsidRPr="00C635D4">
        <w:rPr>
          <w:b/>
          <w:szCs w:val="24"/>
        </w:rPr>
        <w:t>201</w:t>
      </w:r>
      <w:r>
        <w:rPr>
          <w:b/>
          <w:szCs w:val="24"/>
        </w:rPr>
        <w:t>8</w:t>
      </w:r>
      <w:r w:rsidRPr="00C635D4">
        <w:rPr>
          <w:b/>
          <w:szCs w:val="24"/>
        </w:rPr>
        <w:t xml:space="preserve"> et 201</w:t>
      </w:r>
      <w:r>
        <w:rPr>
          <w:b/>
          <w:szCs w:val="24"/>
        </w:rPr>
        <w:t>9</w:t>
      </w:r>
      <w:r w:rsidRPr="00C635D4">
        <w:rPr>
          <w:szCs w:val="24"/>
        </w:rPr>
        <w:t xml:space="preserve"> au moins égal au montant de l’offre ;</w:t>
      </w:r>
    </w:p>
    <w:p w:rsidR="00D21887" w:rsidRPr="00C635D4" w:rsidRDefault="00D21887" w:rsidP="00D21887">
      <w:pPr>
        <w:pStyle w:val="Paragraphedeliste"/>
        <w:numPr>
          <w:ilvl w:val="0"/>
          <w:numId w:val="2"/>
        </w:numPr>
        <w:suppressAutoHyphens/>
        <w:ind w:right="-72"/>
        <w:jc w:val="both"/>
        <w:rPr>
          <w:szCs w:val="24"/>
        </w:rPr>
      </w:pPr>
      <w:r w:rsidRPr="00C635D4">
        <w:rPr>
          <w:szCs w:val="24"/>
        </w:rPr>
        <w:t>les nouvelles sociétés doivent fournir une attestation bancaire de disponibilité de fonds ou d’engagement à financer le marc</w:t>
      </w:r>
      <w:r>
        <w:rPr>
          <w:szCs w:val="24"/>
        </w:rPr>
        <w:t>hé d’un montant  au moins égal</w:t>
      </w:r>
      <w:r w:rsidRPr="00C635D4">
        <w:rPr>
          <w:szCs w:val="24"/>
        </w:rPr>
        <w:t xml:space="preserve"> </w:t>
      </w:r>
      <w:r>
        <w:rPr>
          <w:szCs w:val="24"/>
        </w:rPr>
        <w:t>au montant de l’offre par lot</w:t>
      </w:r>
      <w:r w:rsidRPr="00C635D4">
        <w:rPr>
          <w:szCs w:val="24"/>
        </w:rPr>
        <w:t xml:space="preserve">, </w:t>
      </w:r>
      <w:r>
        <w:rPr>
          <w:szCs w:val="24"/>
        </w:rPr>
        <w:t xml:space="preserve">la </w:t>
      </w:r>
      <w:r w:rsidRPr="00C635D4">
        <w:rPr>
          <w:szCs w:val="24"/>
        </w:rPr>
        <w:t>liste du personnel requis</w:t>
      </w:r>
      <w:r>
        <w:rPr>
          <w:szCs w:val="24"/>
        </w:rPr>
        <w:t>.</w:t>
      </w:r>
      <w:r w:rsidRPr="00C635D4">
        <w:rPr>
          <w:szCs w:val="24"/>
        </w:rPr>
        <w:t>.</w:t>
      </w:r>
    </w:p>
    <w:p w:rsidR="00D21887" w:rsidRPr="00C635D4" w:rsidRDefault="00D21887" w:rsidP="00D21887">
      <w:pPr>
        <w:pStyle w:val="Paragraphedeliste"/>
        <w:suppressAutoHyphens/>
        <w:ind w:left="861" w:right="-72"/>
        <w:jc w:val="both"/>
        <w:rPr>
          <w:szCs w:val="24"/>
        </w:rPr>
      </w:pPr>
    </w:p>
    <w:p w:rsidR="00D21887" w:rsidRPr="00C635D4" w:rsidRDefault="00D21887" w:rsidP="00D21887">
      <w:pPr>
        <w:suppressAutoHyphens/>
        <w:ind w:right="-72"/>
        <w:jc w:val="both"/>
        <w:rPr>
          <w:szCs w:val="24"/>
        </w:rPr>
      </w:pPr>
      <w:r w:rsidRPr="00C635D4">
        <w:rPr>
          <w:szCs w:val="24"/>
        </w:rPr>
        <w:lastRenderedPageBreak/>
        <w:t xml:space="preserve">Toutefois pour l’appréciation des expériences la candidature de ces sociétés doit être examinée en regard des capacités professionnelles et techniques, notamment, par le biais des expériences et références obtenues par leurs dirigeants ou collaborateurs. </w:t>
      </w:r>
    </w:p>
    <w:p w:rsidR="00D21887" w:rsidRPr="00C635D4" w:rsidRDefault="00D21887" w:rsidP="00D21887">
      <w:pPr>
        <w:pStyle w:val="Paragraphedeliste"/>
        <w:suppressAutoHyphens/>
        <w:ind w:left="861" w:right="-72"/>
        <w:jc w:val="both"/>
        <w:rPr>
          <w:szCs w:val="24"/>
        </w:rPr>
      </w:pPr>
    </w:p>
    <w:p w:rsidR="00D21887" w:rsidRPr="00C635D4" w:rsidRDefault="00D21887" w:rsidP="00D21887">
      <w:pPr>
        <w:spacing w:after="200"/>
        <w:ind w:left="540" w:hanging="540"/>
        <w:jc w:val="both"/>
        <w:rPr>
          <w:szCs w:val="24"/>
        </w:rPr>
      </w:pPr>
      <w:r w:rsidRPr="00C635D4">
        <w:rPr>
          <w:b/>
          <w:szCs w:val="24"/>
          <w:u w:val="single"/>
        </w:rPr>
        <w:t>Capacité technique et expérience</w:t>
      </w:r>
      <w:r w:rsidRPr="00C635D4">
        <w:rPr>
          <w:b/>
          <w:szCs w:val="24"/>
        </w:rPr>
        <w:t xml:space="preserve"> : </w:t>
      </w:r>
      <w:r w:rsidRPr="00C635D4">
        <w:rPr>
          <w:szCs w:val="24"/>
        </w:rPr>
        <w:t xml:space="preserve">Le Soumissionnaire doit prouver, documentation à l’appui qu’il satisfait aux exigences de capacité technique ci-après : </w:t>
      </w:r>
    </w:p>
    <w:p w:rsidR="00D21887" w:rsidRPr="00C635D4" w:rsidRDefault="00D21887" w:rsidP="00D21887">
      <w:pPr>
        <w:pStyle w:val="Paragraphedeliste"/>
        <w:numPr>
          <w:ilvl w:val="0"/>
          <w:numId w:val="2"/>
        </w:numPr>
        <w:spacing w:after="200"/>
        <w:jc w:val="both"/>
        <w:rPr>
          <w:b/>
          <w:szCs w:val="24"/>
        </w:rPr>
      </w:pPr>
      <w:r>
        <w:rPr>
          <w:szCs w:val="24"/>
        </w:rPr>
        <w:t xml:space="preserve">Trois </w:t>
      </w:r>
      <w:r w:rsidRPr="00C635D4">
        <w:rPr>
          <w:szCs w:val="24"/>
        </w:rPr>
        <w:t xml:space="preserve">marchés similaires attestés par les attestations de bonne exécution, les procès-verbaux de réception provisoire ou définitive et les copies des pages de garde et les pages de signature des marchés correspondant ou tout  document émanant d’institutions publiques ou parapubliques ou internationales permettant de justifier de sa capacité à exécuter le marché dans les règles de l’art pendant la période </w:t>
      </w:r>
      <w:r w:rsidRPr="00C635D4">
        <w:rPr>
          <w:b/>
          <w:szCs w:val="24"/>
        </w:rPr>
        <w:t>201</w:t>
      </w:r>
      <w:r>
        <w:rPr>
          <w:b/>
          <w:szCs w:val="24"/>
        </w:rPr>
        <w:t>6</w:t>
      </w:r>
      <w:r w:rsidRPr="00C635D4">
        <w:rPr>
          <w:szCs w:val="24"/>
        </w:rPr>
        <w:t xml:space="preserve"> à </w:t>
      </w:r>
      <w:r w:rsidRPr="00C635D4">
        <w:rPr>
          <w:b/>
          <w:szCs w:val="24"/>
        </w:rPr>
        <w:t>20</w:t>
      </w:r>
      <w:r>
        <w:rPr>
          <w:b/>
          <w:szCs w:val="24"/>
        </w:rPr>
        <w:t>20</w:t>
      </w:r>
      <w:r w:rsidRPr="00C635D4">
        <w:rPr>
          <w:szCs w:val="24"/>
        </w:rPr>
        <w:t> ».</w:t>
      </w:r>
    </w:p>
    <w:p w:rsidR="00D21887" w:rsidRPr="00C635D4" w:rsidRDefault="00D21887" w:rsidP="00D21887">
      <w:pPr>
        <w:pStyle w:val="Paragraphedeliste"/>
        <w:numPr>
          <w:ilvl w:val="0"/>
          <w:numId w:val="2"/>
        </w:numPr>
        <w:spacing w:after="200"/>
        <w:jc w:val="both"/>
        <w:rPr>
          <w:b/>
          <w:szCs w:val="24"/>
        </w:rPr>
      </w:pPr>
      <w:r w:rsidRPr="00C635D4">
        <w:rPr>
          <w:szCs w:val="24"/>
        </w:rPr>
        <w:t xml:space="preserve">Le Soumissionnaire doit fournir la preuve écrite que les fournitures  qu’il propose remplissent la (les) condition(s) d’utilisation suivante : </w:t>
      </w:r>
      <w:r w:rsidRPr="00C635D4">
        <w:rPr>
          <w:b/>
          <w:szCs w:val="24"/>
        </w:rPr>
        <w:t>Voir le résumé des spécifications techniques contenu dans le dossier d’appel d’offres (cahier des clauses techniques).</w:t>
      </w:r>
      <w:r w:rsidRPr="00C635D4">
        <w:rPr>
          <w:szCs w:val="24"/>
        </w:rPr>
        <w:t xml:space="preserve"> Les Spécifications Techniques ; les catalogues et prospectus du véhicule proposé signés et paraphés rédigé en français ou traduit en français</w:t>
      </w:r>
    </w:p>
    <w:p w:rsidR="00D21887" w:rsidRPr="00B34223" w:rsidRDefault="00D21887" w:rsidP="00D21887">
      <w:pPr>
        <w:pStyle w:val="Paragraphedeliste"/>
        <w:spacing w:after="200"/>
        <w:ind w:left="643" w:right="142"/>
        <w:jc w:val="both"/>
        <w:rPr>
          <w:b/>
          <w:szCs w:val="24"/>
        </w:rPr>
      </w:pPr>
      <w:r w:rsidRPr="003338F9">
        <w:rPr>
          <w:sz w:val="22"/>
          <w:szCs w:val="22"/>
        </w:rPr>
        <w:t>NB : les photocopies des catalogues et prospectus des véhicules ne sont pas acceptés et peuvent être l’objet de rejet.</w:t>
      </w:r>
    </w:p>
    <w:p w:rsidR="00D21887" w:rsidRPr="00B34223" w:rsidRDefault="00D21887" w:rsidP="00D21887">
      <w:pPr>
        <w:pStyle w:val="Paragraphedeliste"/>
        <w:numPr>
          <w:ilvl w:val="6"/>
          <w:numId w:val="1"/>
        </w:numPr>
        <w:spacing w:after="200"/>
        <w:ind w:right="142"/>
        <w:jc w:val="both"/>
        <w:rPr>
          <w:iCs/>
          <w:szCs w:val="24"/>
        </w:rPr>
      </w:pPr>
      <w:r w:rsidRPr="00B34223">
        <w:rPr>
          <w:szCs w:val="24"/>
        </w:rPr>
        <w:t>Les candidats intéressés peuvent consulter gratuitement le dossier d’Appel d’offres complet ou le retirer à titre onéreux contre paiement</w:t>
      </w:r>
      <w:r w:rsidRPr="00B34223">
        <w:rPr>
          <w:rStyle w:val="Appelnotedebasdep"/>
          <w:szCs w:val="24"/>
        </w:rPr>
        <w:footnoteReference w:id="1"/>
      </w:r>
      <w:r w:rsidRPr="00B34223">
        <w:rPr>
          <w:szCs w:val="24"/>
        </w:rPr>
        <w:t xml:space="preserve"> d’une somme non remboursable </w:t>
      </w:r>
      <w:r w:rsidRPr="00A6261E">
        <w:rPr>
          <w:szCs w:val="24"/>
        </w:rPr>
        <w:t xml:space="preserve">de </w:t>
      </w:r>
      <w:r w:rsidRPr="00A6261E">
        <w:rPr>
          <w:b/>
          <w:iCs/>
          <w:szCs w:val="24"/>
        </w:rPr>
        <w:t>deux cent mille (200.000) FCFA</w:t>
      </w:r>
      <w:r w:rsidRPr="00B34223">
        <w:rPr>
          <w:b/>
          <w:iCs/>
          <w:szCs w:val="24"/>
        </w:rPr>
        <w:t xml:space="preserve"> </w:t>
      </w:r>
      <w:r w:rsidRPr="00B34223">
        <w:rPr>
          <w:szCs w:val="24"/>
        </w:rPr>
        <w:t>auprès d</w:t>
      </w:r>
      <w:r>
        <w:rPr>
          <w:szCs w:val="24"/>
        </w:rPr>
        <w:t>u service des finances  de l’IPU</w:t>
      </w:r>
      <w:r w:rsidRPr="00B34223">
        <w:rPr>
          <w:szCs w:val="24"/>
        </w:rPr>
        <w:t>. La méthode de paiement sera en numéraire. Le Dossier d’Appel d’offres sera remis directement après paiement.</w:t>
      </w:r>
    </w:p>
    <w:p w:rsidR="00D21887" w:rsidRPr="00B34223" w:rsidRDefault="00D21887" w:rsidP="00D21887">
      <w:pPr>
        <w:pStyle w:val="Paragraphedeliste"/>
        <w:spacing w:after="200"/>
        <w:ind w:left="600" w:right="142"/>
        <w:jc w:val="both"/>
        <w:rPr>
          <w:iCs/>
          <w:szCs w:val="24"/>
        </w:rPr>
      </w:pPr>
    </w:p>
    <w:p w:rsidR="00D21887" w:rsidRPr="00D9101F" w:rsidRDefault="00D21887" w:rsidP="00D21887">
      <w:pPr>
        <w:pStyle w:val="Paragraphedeliste"/>
        <w:numPr>
          <w:ilvl w:val="6"/>
          <w:numId w:val="1"/>
        </w:numPr>
        <w:spacing w:after="200"/>
        <w:ind w:right="142" w:hanging="600"/>
        <w:jc w:val="both"/>
        <w:rPr>
          <w:iCs/>
          <w:szCs w:val="24"/>
        </w:rPr>
      </w:pPr>
      <w:r w:rsidRPr="00953E2C">
        <w:rPr>
          <w:szCs w:val="24"/>
        </w:rPr>
        <w:t>Les offres devront êtr</w:t>
      </w:r>
      <w:r>
        <w:rPr>
          <w:szCs w:val="24"/>
        </w:rPr>
        <w:t>e soumises à l’adresse ci-après : Service des finances de l’IPU a</w:t>
      </w:r>
      <w:r w:rsidRPr="00953E2C">
        <w:rPr>
          <w:szCs w:val="24"/>
        </w:rPr>
        <w:t xml:space="preserve">u plus tard </w:t>
      </w:r>
      <w:r w:rsidRPr="00953E2C">
        <w:rPr>
          <w:b/>
          <w:szCs w:val="24"/>
        </w:rPr>
        <w:t xml:space="preserve">le </w:t>
      </w:r>
      <w:r>
        <w:rPr>
          <w:b/>
        </w:rPr>
        <w:t>09 avril 2021</w:t>
      </w:r>
      <w:r w:rsidRPr="00953E2C">
        <w:rPr>
          <w:szCs w:val="24"/>
        </w:rPr>
        <w:t xml:space="preserve"> </w:t>
      </w:r>
      <w:r w:rsidRPr="00953E2C">
        <w:rPr>
          <w:b/>
          <w:szCs w:val="24"/>
        </w:rPr>
        <w:t>à 10H</w:t>
      </w:r>
      <w:r w:rsidRPr="00953E2C">
        <w:rPr>
          <w:szCs w:val="24"/>
        </w:rPr>
        <w:t xml:space="preserve">. Les offres remises en retard ne seront pas acceptées. Les offres doivent comprendre </w:t>
      </w:r>
      <w:r w:rsidRPr="00953E2C">
        <w:rPr>
          <w:iCs/>
          <w:szCs w:val="24"/>
        </w:rPr>
        <w:t>une garantie de soumission</w:t>
      </w:r>
      <w:r w:rsidRPr="00953E2C">
        <w:rPr>
          <w:szCs w:val="24"/>
        </w:rPr>
        <w:t xml:space="preserve">, d’un montant </w:t>
      </w:r>
      <w:r w:rsidRPr="00D9101F">
        <w:rPr>
          <w:szCs w:val="24"/>
        </w:rPr>
        <w:t xml:space="preserve">de </w:t>
      </w:r>
      <w:r>
        <w:rPr>
          <w:iCs/>
          <w:szCs w:val="24"/>
        </w:rPr>
        <w:t>trois</w:t>
      </w:r>
      <w:r w:rsidRPr="00D9101F">
        <w:rPr>
          <w:iCs/>
          <w:szCs w:val="24"/>
        </w:rPr>
        <w:t xml:space="preserve"> millions </w:t>
      </w:r>
      <w:r>
        <w:rPr>
          <w:iCs/>
          <w:szCs w:val="24"/>
        </w:rPr>
        <w:t>six</w:t>
      </w:r>
      <w:r w:rsidRPr="00D9101F">
        <w:rPr>
          <w:iCs/>
          <w:szCs w:val="24"/>
        </w:rPr>
        <w:t xml:space="preserve"> cent mille (</w:t>
      </w:r>
      <w:r>
        <w:rPr>
          <w:iCs/>
          <w:szCs w:val="24"/>
        </w:rPr>
        <w:t xml:space="preserve">3 600 </w:t>
      </w:r>
      <w:r w:rsidRPr="00D9101F">
        <w:rPr>
          <w:iCs/>
          <w:szCs w:val="24"/>
        </w:rPr>
        <w:t>000) FCFA</w:t>
      </w:r>
      <w:r>
        <w:rPr>
          <w:iCs/>
          <w:szCs w:val="24"/>
        </w:rPr>
        <w:t>/lot</w:t>
      </w:r>
      <w:r w:rsidRPr="00D9101F">
        <w:rPr>
          <w:iCs/>
          <w:szCs w:val="24"/>
        </w:rPr>
        <w:t>.</w:t>
      </w:r>
    </w:p>
    <w:p w:rsidR="00D21887" w:rsidRPr="00B34223" w:rsidRDefault="00D21887" w:rsidP="00D21887">
      <w:pPr>
        <w:pStyle w:val="Paragraphedeliste"/>
        <w:spacing w:after="200"/>
        <w:ind w:left="600" w:right="142"/>
        <w:jc w:val="both"/>
        <w:rPr>
          <w:iCs/>
          <w:szCs w:val="24"/>
        </w:rPr>
      </w:pPr>
    </w:p>
    <w:p w:rsidR="00D21887" w:rsidRPr="00B34223" w:rsidRDefault="00D21887" w:rsidP="00D21887">
      <w:pPr>
        <w:pStyle w:val="Paragraphedeliste"/>
        <w:numPr>
          <w:ilvl w:val="6"/>
          <w:numId w:val="1"/>
        </w:numPr>
        <w:spacing w:after="200"/>
        <w:ind w:right="142" w:hanging="600"/>
        <w:jc w:val="both"/>
        <w:rPr>
          <w:iCs/>
          <w:szCs w:val="24"/>
        </w:rPr>
      </w:pPr>
      <w:r w:rsidRPr="00B34223">
        <w:rPr>
          <w:szCs w:val="24"/>
        </w:rPr>
        <w:t>Les Soumissionnaires resteront engagés par leur offre pendant une période de quatre-vingt-dix jours (90) à compter de la date limite du dépôt des offres comme spécifié au point 19.1 des IC et au DPAO.</w:t>
      </w:r>
    </w:p>
    <w:p w:rsidR="00D21887" w:rsidRPr="00B34223" w:rsidRDefault="00D21887" w:rsidP="00D21887">
      <w:pPr>
        <w:pStyle w:val="Paragraphedeliste"/>
        <w:spacing w:after="200"/>
        <w:ind w:left="600" w:right="142"/>
        <w:jc w:val="both"/>
        <w:rPr>
          <w:iCs/>
          <w:szCs w:val="24"/>
        </w:rPr>
      </w:pPr>
    </w:p>
    <w:p w:rsidR="00D21887" w:rsidRPr="00B34223" w:rsidRDefault="00D21887" w:rsidP="00D21887">
      <w:pPr>
        <w:pStyle w:val="Paragraphedeliste"/>
        <w:numPr>
          <w:ilvl w:val="6"/>
          <w:numId w:val="1"/>
        </w:numPr>
        <w:spacing w:after="200"/>
        <w:ind w:right="142" w:hanging="600"/>
        <w:jc w:val="both"/>
        <w:rPr>
          <w:iCs/>
          <w:szCs w:val="24"/>
        </w:rPr>
      </w:pPr>
      <w:r w:rsidRPr="00B34223">
        <w:rPr>
          <w:szCs w:val="24"/>
        </w:rPr>
        <w:t xml:space="preserve">Les offres seront ouvertes en présence des représentants des soumissionnaires qui souhaitent assister à l’ouverture des plis </w:t>
      </w:r>
      <w:r>
        <w:rPr>
          <w:b/>
          <w:szCs w:val="24"/>
        </w:rPr>
        <w:t>09 avril</w:t>
      </w:r>
      <w:r>
        <w:t xml:space="preserve"> </w:t>
      </w:r>
      <w:r>
        <w:rPr>
          <w:b/>
        </w:rPr>
        <w:t>2021</w:t>
      </w:r>
      <w:r w:rsidRPr="0027172B">
        <w:rPr>
          <w:b/>
        </w:rPr>
        <w:t xml:space="preserve"> </w:t>
      </w:r>
      <w:r w:rsidRPr="00B34223">
        <w:rPr>
          <w:b/>
          <w:szCs w:val="24"/>
        </w:rPr>
        <w:t xml:space="preserve"> à 10H</w:t>
      </w:r>
      <w:r w:rsidRPr="00B34223">
        <w:rPr>
          <w:szCs w:val="24"/>
        </w:rPr>
        <w:t xml:space="preserve"> à l’adresse suivante : à la salle de conférence </w:t>
      </w:r>
      <w:r>
        <w:rPr>
          <w:szCs w:val="24"/>
        </w:rPr>
        <w:t>de l’IPU</w:t>
      </w:r>
      <w:r w:rsidRPr="00B34223">
        <w:rPr>
          <w:szCs w:val="24"/>
        </w:rPr>
        <w:t>.</w:t>
      </w:r>
    </w:p>
    <w:p w:rsidR="00D21887" w:rsidRDefault="00D21887" w:rsidP="00D21887">
      <w:pPr>
        <w:jc w:val="center"/>
        <w:rPr>
          <w:b/>
        </w:rPr>
      </w:pPr>
      <w:r w:rsidRPr="00B21583">
        <w:rPr>
          <w:b/>
        </w:rPr>
        <w:t xml:space="preserve">                         Bamako, le</w:t>
      </w:r>
      <w:r>
        <w:rPr>
          <w:b/>
        </w:rPr>
        <w:t xml:space="preserve"> ……………..</w:t>
      </w:r>
    </w:p>
    <w:p w:rsidR="00D21887" w:rsidRPr="00B34223" w:rsidRDefault="00D21887" w:rsidP="00D21887">
      <w:pPr>
        <w:jc w:val="center"/>
        <w:rPr>
          <w:sz w:val="28"/>
          <w:szCs w:val="28"/>
        </w:rPr>
      </w:pPr>
      <w:r>
        <w:rPr>
          <w:b/>
        </w:rPr>
        <w:t xml:space="preserve">                                           </w:t>
      </w:r>
      <w:r w:rsidRPr="00B34223">
        <w:rPr>
          <w:sz w:val="28"/>
          <w:szCs w:val="28"/>
        </w:rPr>
        <w:t xml:space="preserve">LE </w:t>
      </w:r>
      <w:r>
        <w:rPr>
          <w:sz w:val="28"/>
          <w:szCs w:val="28"/>
        </w:rPr>
        <w:t>DI</w:t>
      </w:r>
      <w:r w:rsidRPr="00B34223">
        <w:rPr>
          <w:sz w:val="28"/>
          <w:szCs w:val="28"/>
        </w:rPr>
        <w:t xml:space="preserve">RECTEUR </w:t>
      </w:r>
      <w:r>
        <w:rPr>
          <w:sz w:val="28"/>
          <w:szCs w:val="28"/>
        </w:rPr>
        <w:t xml:space="preserve"> GENERAL</w:t>
      </w:r>
    </w:p>
    <w:p w:rsidR="00D21887" w:rsidRDefault="00D21887" w:rsidP="00D21887">
      <w:pPr>
        <w:jc w:val="center"/>
        <w:rPr>
          <w:b/>
        </w:rPr>
      </w:pPr>
    </w:p>
    <w:p w:rsidR="00D21887" w:rsidRDefault="00D21887" w:rsidP="00D21887">
      <w:pPr>
        <w:jc w:val="center"/>
        <w:rPr>
          <w:b/>
        </w:rPr>
      </w:pPr>
    </w:p>
    <w:p w:rsidR="00D21887" w:rsidRDefault="00D21887" w:rsidP="00D21887">
      <w:pPr>
        <w:jc w:val="center"/>
        <w:rPr>
          <w:b/>
        </w:rPr>
      </w:pPr>
    </w:p>
    <w:p w:rsidR="00D21887" w:rsidRDefault="00D21887" w:rsidP="00D21887">
      <w:pPr>
        <w:jc w:val="center"/>
        <w:rPr>
          <w:b/>
        </w:rPr>
      </w:pPr>
    </w:p>
    <w:p w:rsidR="00D21887" w:rsidRDefault="00D21887" w:rsidP="00D21887">
      <w:pPr>
        <w:jc w:val="center"/>
        <w:rPr>
          <w:b/>
        </w:rPr>
      </w:pPr>
    </w:p>
    <w:p w:rsidR="00D21887" w:rsidRPr="00B34223" w:rsidRDefault="00D21887" w:rsidP="00D21887">
      <w:pPr>
        <w:jc w:val="center"/>
        <w:rPr>
          <w:b/>
          <w:sz w:val="22"/>
          <w:szCs w:val="22"/>
        </w:rPr>
      </w:pPr>
      <w:r>
        <w:rPr>
          <w:b/>
        </w:rPr>
        <w:t xml:space="preserve">                                               </w:t>
      </w:r>
      <w:r>
        <w:rPr>
          <w:b/>
          <w:szCs w:val="24"/>
          <w:u w:val="single"/>
        </w:rPr>
        <w:t>Pr</w:t>
      </w:r>
      <w:r w:rsidRPr="004D677A">
        <w:rPr>
          <w:b/>
          <w:szCs w:val="24"/>
          <w:u w:val="single"/>
        </w:rPr>
        <w:t xml:space="preserve"> BREHIMA TOUNKARA</w:t>
      </w:r>
      <w:r>
        <w:rPr>
          <w:b/>
        </w:rPr>
        <w:t xml:space="preserve">                      </w:t>
      </w:r>
    </w:p>
    <w:p w:rsidR="00744A6F" w:rsidRDefault="00744A6F">
      <w:bookmarkStart w:id="0" w:name="_GoBack"/>
      <w:bookmarkEnd w:id="0"/>
    </w:p>
    <w:sectPr w:rsidR="00744A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887" w:rsidRDefault="00D21887" w:rsidP="00D21887">
      <w:r>
        <w:separator/>
      </w:r>
    </w:p>
  </w:endnote>
  <w:endnote w:type="continuationSeparator" w:id="0">
    <w:p w:rsidR="00D21887" w:rsidRDefault="00D21887" w:rsidP="00D2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887" w:rsidRDefault="00D21887" w:rsidP="00D21887">
      <w:r>
        <w:separator/>
      </w:r>
    </w:p>
  </w:footnote>
  <w:footnote w:type="continuationSeparator" w:id="0">
    <w:p w:rsidR="00D21887" w:rsidRDefault="00D21887" w:rsidP="00D21887">
      <w:r>
        <w:continuationSeparator/>
      </w:r>
    </w:p>
  </w:footnote>
  <w:footnote w:id="1">
    <w:p w:rsidR="00D21887" w:rsidRPr="001F51A9" w:rsidRDefault="00D21887" w:rsidP="00D21887">
      <w:pPr>
        <w:pStyle w:val="Notedebasdepage"/>
        <w:rPr>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60A"/>
    <w:multiLevelType w:val="hybridMultilevel"/>
    <w:tmpl w:val="2838517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A235648"/>
    <w:multiLevelType w:val="multilevel"/>
    <w:tmpl w:val="5434D24C"/>
    <w:lvl w:ilvl="0">
      <w:start w:val="3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76A62025"/>
    <w:multiLevelType w:val="hybridMultilevel"/>
    <w:tmpl w:val="BAFE3F40"/>
    <w:lvl w:ilvl="0" w:tplc="040C0019">
      <w:start w:val="1"/>
      <w:numFmt w:val="lowerLetter"/>
      <w:lvlText w:val="%1."/>
      <w:lvlJc w:val="left"/>
      <w:pPr>
        <w:ind w:left="1581" w:hanging="360"/>
      </w:pPr>
    </w:lvl>
    <w:lvl w:ilvl="1" w:tplc="040C0019" w:tentative="1">
      <w:start w:val="1"/>
      <w:numFmt w:val="lowerLetter"/>
      <w:lvlText w:val="%2."/>
      <w:lvlJc w:val="left"/>
      <w:pPr>
        <w:ind w:left="2301" w:hanging="360"/>
      </w:pPr>
    </w:lvl>
    <w:lvl w:ilvl="2" w:tplc="040C001B" w:tentative="1">
      <w:start w:val="1"/>
      <w:numFmt w:val="lowerRoman"/>
      <w:lvlText w:val="%3."/>
      <w:lvlJc w:val="right"/>
      <w:pPr>
        <w:ind w:left="3021" w:hanging="180"/>
      </w:pPr>
    </w:lvl>
    <w:lvl w:ilvl="3" w:tplc="040C000F" w:tentative="1">
      <w:start w:val="1"/>
      <w:numFmt w:val="decimal"/>
      <w:lvlText w:val="%4."/>
      <w:lvlJc w:val="left"/>
      <w:pPr>
        <w:ind w:left="3741" w:hanging="360"/>
      </w:pPr>
    </w:lvl>
    <w:lvl w:ilvl="4" w:tplc="040C0019" w:tentative="1">
      <w:start w:val="1"/>
      <w:numFmt w:val="lowerLetter"/>
      <w:lvlText w:val="%5."/>
      <w:lvlJc w:val="left"/>
      <w:pPr>
        <w:ind w:left="4461" w:hanging="360"/>
      </w:pPr>
    </w:lvl>
    <w:lvl w:ilvl="5" w:tplc="040C001B" w:tentative="1">
      <w:start w:val="1"/>
      <w:numFmt w:val="lowerRoman"/>
      <w:lvlText w:val="%6."/>
      <w:lvlJc w:val="right"/>
      <w:pPr>
        <w:ind w:left="5181" w:hanging="180"/>
      </w:pPr>
    </w:lvl>
    <w:lvl w:ilvl="6" w:tplc="040C000F" w:tentative="1">
      <w:start w:val="1"/>
      <w:numFmt w:val="decimal"/>
      <w:lvlText w:val="%7."/>
      <w:lvlJc w:val="left"/>
      <w:pPr>
        <w:ind w:left="5901" w:hanging="360"/>
      </w:pPr>
    </w:lvl>
    <w:lvl w:ilvl="7" w:tplc="040C0019" w:tentative="1">
      <w:start w:val="1"/>
      <w:numFmt w:val="lowerLetter"/>
      <w:lvlText w:val="%8."/>
      <w:lvlJc w:val="left"/>
      <w:pPr>
        <w:ind w:left="6621" w:hanging="360"/>
      </w:pPr>
    </w:lvl>
    <w:lvl w:ilvl="8" w:tplc="040C001B" w:tentative="1">
      <w:start w:val="1"/>
      <w:numFmt w:val="lowerRoman"/>
      <w:lvlText w:val="%9."/>
      <w:lvlJc w:val="right"/>
      <w:pPr>
        <w:ind w:left="734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87"/>
    <w:rsid w:val="00744A6F"/>
    <w:rsid w:val="00D218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BB88D-658B-4037-8834-E3CC1406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887"/>
    <w:pPr>
      <w:spacing w:after="0" w:line="240" w:lineRule="auto"/>
    </w:pPr>
    <w:rPr>
      <w:rFonts w:ascii="Times New Roman" w:eastAsia="Times New Roman" w:hAnsi="Times New Roman" w:cs="Times New Roman"/>
      <w:sz w:val="24"/>
      <w:szCs w:val="20"/>
      <w:lang w:eastAsia="fr-FR"/>
    </w:rPr>
  </w:style>
  <w:style w:type="paragraph" w:styleId="Titre4">
    <w:name w:val="heading 4"/>
    <w:basedOn w:val="Normal"/>
    <w:next w:val="Normal"/>
    <w:link w:val="Titre4Car"/>
    <w:qFormat/>
    <w:rsid w:val="00D21887"/>
    <w:pPr>
      <w:spacing w:after="20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D21887"/>
    <w:rPr>
      <w:rFonts w:ascii="Times New Roman" w:eastAsia="Times New Roman" w:hAnsi="Times New Roman" w:cs="Times New Roman"/>
      <w:sz w:val="24"/>
      <w:szCs w:val="20"/>
      <w:lang w:val="en-US" w:eastAsia="fr-FR"/>
    </w:rPr>
  </w:style>
  <w:style w:type="paragraph" w:styleId="Notedebasdepage">
    <w:name w:val="footnote text"/>
    <w:basedOn w:val="Normal"/>
    <w:link w:val="NotedebasdepageCar"/>
    <w:semiHidden/>
    <w:rsid w:val="00D21887"/>
    <w:pPr>
      <w:jc w:val="both"/>
    </w:pPr>
    <w:rPr>
      <w:sz w:val="20"/>
      <w:lang w:val="es-ES_tradnl"/>
    </w:rPr>
  </w:style>
  <w:style w:type="character" w:customStyle="1" w:styleId="NotedebasdepageCar">
    <w:name w:val="Note de bas de page Car"/>
    <w:basedOn w:val="Policepardfaut"/>
    <w:link w:val="Notedebasdepage"/>
    <w:semiHidden/>
    <w:rsid w:val="00D21887"/>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semiHidden/>
    <w:rsid w:val="00D21887"/>
    <w:rPr>
      <w:rFonts w:cs="Times New Roman"/>
      <w:vertAlign w:val="superscript"/>
    </w:rPr>
  </w:style>
  <w:style w:type="paragraph" w:styleId="Paragraphedeliste">
    <w:name w:val="List Paragraph"/>
    <w:basedOn w:val="Normal"/>
    <w:uiPriority w:val="34"/>
    <w:qFormat/>
    <w:rsid w:val="00D21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4450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AC</dc:creator>
  <cp:keywords/>
  <dc:description/>
  <cp:lastModifiedBy>HP AC</cp:lastModifiedBy>
  <cp:revision>1</cp:revision>
  <dcterms:created xsi:type="dcterms:W3CDTF">2021-03-03T15:15:00Z</dcterms:created>
  <dcterms:modified xsi:type="dcterms:W3CDTF">2021-03-03T15:16:00Z</dcterms:modified>
</cp:coreProperties>
</file>