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974C" w14:textId="40D36E42" w:rsidR="0092208C" w:rsidRPr="007F2B6B" w:rsidRDefault="0092208C" w:rsidP="0057082A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tbl>
      <w:tblPr>
        <w:tblStyle w:val="TableGrid"/>
        <w:tblW w:w="9665" w:type="dxa"/>
        <w:tblInd w:w="0" w:type="dxa"/>
        <w:tblLook w:val="04A0" w:firstRow="1" w:lastRow="0" w:firstColumn="1" w:lastColumn="0" w:noHBand="0" w:noVBand="1"/>
      </w:tblPr>
      <w:tblGrid>
        <w:gridCol w:w="6659"/>
        <w:gridCol w:w="3006"/>
      </w:tblGrid>
      <w:tr w:rsidR="007F2B6B" w:rsidRPr="007F2B6B" w14:paraId="28C6D528" w14:textId="77777777" w:rsidTr="00506956">
        <w:trPr>
          <w:trHeight w:val="196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04CE5B1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>MINISTERE DE L’EMPLOI ET DE LA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21147485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 xml:space="preserve">   REPUBLIQUE DU MALI</w:t>
            </w:r>
          </w:p>
        </w:tc>
      </w:tr>
      <w:tr w:rsidR="007F2B6B" w:rsidRPr="007F2B6B" w14:paraId="4FD2554A" w14:textId="77777777" w:rsidTr="00506956">
        <w:trPr>
          <w:trHeight w:val="32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EEC224A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>FORMATION PROFESSIONNELLE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3EC6B03" w14:textId="77777777" w:rsidR="007F2B6B" w:rsidRPr="007F2B6B" w:rsidRDefault="007F2B6B" w:rsidP="00506956">
            <w:pPr>
              <w:jc w:val="both"/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>Un Peuple – Un But – Une Foi</w:t>
            </w:r>
          </w:p>
        </w:tc>
      </w:tr>
      <w:tr w:rsidR="007F2B6B" w:rsidRPr="007F2B6B" w14:paraId="33273451" w14:textId="77777777" w:rsidTr="00506956">
        <w:trPr>
          <w:trHeight w:val="1033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31ED3D2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 xml:space="preserve">            ---------------------------</w:t>
            </w:r>
          </w:p>
          <w:p w14:paraId="60B0F442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>DIRECTION DES FINANCES ET DU MATERIEL</w:t>
            </w:r>
          </w:p>
          <w:p w14:paraId="7F976110" w14:textId="77777777" w:rsidR="007F2B6B" w:rsidRPr="007F2B6B" w:rsidRDefault="007F2B6B" w:rsidP="00506956">
            <w:pPr>
              <w:rPr>
                <w:rFonts w:ascii="Arial Narrow" w:eastAsia="Times New Roman" w:hAnsi="Arial Narrow" w:cs="Arial"/>
                <w:b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 xml:space="preserve">                  -------------------</w:t>
            </w:r>
          </w:p>
          <w:p w14:paraId="6D73A1E3" w14:textId="77777777" w:rsidR="007F2B6B" w:rsidRPr="007F2B6B" w:rsidRDefault="007F2B6B" w:rsidP="00506956">
            <w:pPr>
              <w:rPr>
                <w:rFonts w:ascii="Arial Narrow" w:eastAsia="Times New Roman" w:hAnsi="Arial Narrow" w:cs="Arial"/>
                <w:b/>
              </w:rPr>
            </w:pPr>
          </w:p>
          <w:p w14:paraId="08168412" w14:textId="77777777" w:rsidR="007F2B6B" w:rsidRPr="007F2B6B" w:rsidRDefault="007F2B6B" w:rsidP="00506956">
            <w:pPr>
              <w:tabs>
                <w:tab w:val="left" w:pos="3885"/>
              </w:tabs>
              <w:rPr>
                <w:rFonts w:ascii="Arial Narrow" w:hAnsi="Arial Narrow"/>
                <w:b/>
              </w:rPr>
            </w:pPr>
            <w:r w:rsidRPr="007F2B6B">
              <w:rPr>
                <w:rFonts w:ascii="Arial Narrow" w:eastAsia="Batang" w:hAnsi="Arial Narrow" w:cs="Arial"/>
                <w:lang w:eastAsia="en-US"/>
              </w:rPr>
              <w:object w:dxaOrig="8325" w:dyaOrig="6765" w14:anchorId="49669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74.25pt" o:ole="" fillcolor="window">
                  <v:imagedata r:id="rId5" o:title=""/>
                </v:shape>
                <o:OLEObject Type="Embed" ProgID="Word.Picture.8" ShapeID="_x0000_i1025" DrawAspect="Content" ObjectID="_1677334606" r:id="rId6"/>
              </w:object>
            </w:r>
          </w:p>
          <w:p w14:paraId="62D54ABA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2BA0B782" w14:textId="77777777" w:rsidR="007F2B6B" w:rsidRPr="007F2B6B" w:rsidRDefault="007F2B6B" w:rsidP="00506956">
            <w:pPr>
              <w:rPr>
                <w:rFonts w:ascii="Arial Narrow" w:hAnsi="Arial Narrow" w:cs="Arial"/>
              </w:rPr>
            </w:pPr>
            <w:r w:rsidRPr="007F2B6B">
              <w:rPr>
                <w:rFonts w:ascii="Arial Narrow" w:eastAsia="Times New Roman" w:hAnsi="Arial Narrow" w:cs="Arial"/>
                <w:b/>
              </w:rPr>
              <w:t xml:space="preserve">        ---------------------------</w:t>
            </w:r>
          </w:p>
          <w:p w14:paraId="4FACCC52" w14:textId="77777777" w:rsidR="007F2B6B" w:rsidRPr="007F2B6B" w:rsidRDefault="007F2B6B" w:rsidP="00506956">
            <w:pPr>
              <w:ind w:left="696"/>
              <w:rPr>
                <w:rFonts w:ascii="Arial Narrow" w:hAnsi="Arial Narrow" w:cs="Arial"/>
              </w:rPr>
            </w:pPr>
          </w:p>
        </w:tc>
      </w:tr>
    </w:tbl>
    <w:p w14:paraId="0A5A2C50" w14:textId="020EC8B1" w:rsidR="0092208C" w:rsidRDefault="0092208C" w:rsidP="0057082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22222"/>
          <w:lang w:eastAsia="fr-FR"/>
        </w:rPr>
      </w:pPr>
      <w:bookmarkStart w:id="0" w:name="_Hlk35426327"/>
      <w:r w:rsidRPr="007F2B6B">
        <w:rPr>
          <w:rFonts w:ascii="Arial Narrow" w:eastAsia="Times New Roman" w:hAnsi="Arial Narrow" w:cs="Times New Roman"/>
          <w:b/>
          <w:bCs/>
          <w:color w:val="222222"/>
          <w:lang w:eastAsia="fr-FR"/>
        </w:rPr>
        <w:t xml:space="preserve">AVIS DE MANIFESTATION </w:t>
      </w:r>
      <w:r w:rsidRPr="0017141C">
        <w:rPr>
          <w:rFonts w:ascii="Arial Narrow" w:eastAsia="Times New Roman" w:hAnsi="Arial Narrow" w:cs="Times New Roman"/>
          <w:b/>
          <w:bCs/>
          <w:color w:val="222222"/>
          <w:lang w:eastAsia="fr-FR"/>
        </w:rPr>
        <w:t>D’INTERET N</w:t>
      </w:r>
      <w:r w:rsidR="008B44A9" w:rsidRPr="0017141C">
        <w:rPr>
          <w:rFonts w:ascii="Arial Narrow" w:eastAsia="Times New Roman" w:hAnsi="Arial Narrow" w:cs="Times New Roman"/>
          <w:b/>
          <w:bCs/>
          <w:color w:val="222222"/>
          <w:lang w:eastAsia="fr-FR"/>
        </w:rPr>
        <w:t>°</w:t>
      </w:r>
      <w:r w:rsidR="007F2B6B" w:rsidRPr="0017141C">
        <w:rPr>
          <w:rFonts w:ascii="Arial Narrow" w:eastAsia="Times New Roman" w:hAnsi="Arial Narrow" w:cs="Times New Roman"/>
          <w:b/>
          <w:bCs/>
          <w:color w:val="222222"/>
          <w:lang w:eastAsia="fr-FR"/>
        </w:rPr>
        <w:t>001</w:t>
      </w:r>
      <w:r w:rsidR="007F2B6B" w:rsidRPr="007F2B6B">
        <w:rPr>
          <w:rFonts w:ascii="Arial Narrow" w:eastAsia="Times New Roman" w:hAnsi="Arial Narrow" w:cs="Times New Roman"/>
          <w:b/>
          <w:bCs/>
          <w:color w:val="222222"/>
          <w:lang w:eastAsia="fr-FR"/>
        </w:rPr>
        <w:t>-MEFP-DFM-2021</w:t>
      </w:r>
    </w:p>
    <w:p w14:paraId="679A17F7" w14:textId="7AFABE7E" w:rsidR="0057082A" w:rsidRPr="007F2B6B" w:rsidRDefault="0057082A" w:rsidP="0057082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222222"/>
          <w:szCs w:val="20"/>
          <w:lang w:val="fr-CA" w:eastAsia="fr-FR"/>
        </w:rPr>
      </w:pPr>
      <w:r w:rsidRPr="007F2B6B">
        <w:rPr>
          <w:rFonts w:ascii="Arial Narrow" w:eastAsia="Times New Roman" w:hAnsi="Arial Narrow" w:cs="Times New Roman"/>
          <w:b/>
          <w:color w:val="222222"/>
          <w:szCs w:val="20"/>
          <w:lang w:val="fr-CA" w:eastAsia="fr-FR"/>
        </w:rPr>
        <w:t>MINISTERE DE L’EMPLOI ET DE LA FORMATION PROFESSIONNELLE</w:t>
      </w:r>
    </w:p>
    <w:p w14:paraId="1D9659E1" w14:textId="2027156F" w:rsidR="0057082A" w:rsidRDefault="0057082A" w:rsidP="0057082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222222"/>
          <w:lang w:val="fr-CA" w:eastAsia="fr-FR"/>
        </w:rPr>
      </w:pPr>
      <w:r w:rsidRPr="007F2B6B">
        <w:rPr>
          <w:rFonts w:ascii="Arial Narrow" w:eastAsia="Times New Roman" w:hAnsi="Arial Narrow" w:cs="Times New Roman"/>
          <w:b/>
          <w:color w:val="222222"/>
          <w:lang w:val="fr-CA" w:eastAsia="fr-FR"/>
        </w:rPr>
        <w:t>SOLLICITATION DE MANIFESTATION D’INTERET</w:t>
      </w:r>
    </w:p>
    <w:p w14:paraId="166E0DCF" w14:textId="77777777" w:rsidR="007F2B6B" w:rsidRPr="007F2B6B" w:rsidRDefault="007F2B6B" w:rsidP="0057082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222222"/>
          <w:lang w:val="fr-CA" w:eastAsia="fr-FR"/>
        </w:rPr>
      </w:pPr>
    </w:p>
    <w:p w14:paraId="6DB6C807" w14:textId="3E5752DB" w:rsidR="007F2B6B" w:rsidRPr="007F2B6B" w:rsidRDefault="0057082A" w:rsidP="007F2B6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u w:val="single"/>
          <w:lang w:val="fr-CA" w:eastAsia="fr-FR"/>
        </w:rPr>
        <w:t>SERVICES DE CONSULTANTS POUR</w:t>
      </w:r>
      <w:r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A" w:eastAsia="fr-FR"/>
        </w:rPr>
        <w:t xml:space="preserve">: </w:t>
      </w:r>
      <w:r w:rsidR="0016592D"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lang w:val="fr-CA" w:eastAsia="fr-FR"/>
        </w:rPr>
        <w:t>« </w:t>
      </w:r>
      <w:r w:rsidR="007F2B6B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L’ETUDE, </w:t>
      </w:r>
      <w:r w:rsid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LE </w:t>
      </w:r>
      <w:r w:rsidR="007F2B6B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CONTROLE ET LA SURVEILLANCE DES TRAVAUX DE CONSTRUCTION DES DIRECTIONS NATIONALES DE L’EMPLOI ET DE LA FORMATION PROFESSIONNELLE (DNE-DNFP) DANS LE DISTRICT DE BAMAKO ».</w:t>
      </w:r>
    </w:p>
    <w:p w14:paraId="297C838C" w14:textId="3E17A4C0" w:rsidR="0057082A" w:rsidRPr="007F2B6B" w:rsidRDefault="0057082A" w:rsidP="007F2B6B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</w:p>
    <w:p w14:paraId="7EB022E9" w14:textId="77777777" w:rsidR="0075325D" w:rsidRPr="007F2B6B" w:rsidRDefault="0075325D" w:rsidP="0075325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222222"/>
          <w:sz w:val="8"/>
          <w:szCs w:val="8"/>
          <w:lang w:eastAsia="fr-FR"/>
        </w:rPr>
      </w:pPr>
    </w:p>
    <w:bookmarkEnd w:id="0"/>
    <w:p w14:paraId="5D6E8122" w14:textId="4C09A4F8" w:rsidR="0051688B" w:rsidRPr="007F2B6B" w:rsidRDefault="0051688B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 xml:space="preserve">1. 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Le Directeur des Finances et du matériel du Ministère de l’Emploi et de la Formation Professionnelle invite les candidats admissibles à manifester leur intérêt à rendre le service ci-dessus cité. Les consultants intéressés (bureaux ou groupement de bureaux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tels que : l</w:t>
      </w:r>
      <w:r w:rsidR="00003316" w:rsidRP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es Cabinets d’Architecture et d’Ingénieurs Conseils Inscrit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s</w:t>
      </w:r>
      <w:r w:rsidR="00003316" w:rsidRP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sur les tableaux des Ordres professionnels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concernés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) doivent fournir les informations indiquant qu’ils sont qualifiés pour exécuter les services (référence concernant l’exécution des contrats similaires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003316" w:rsidRPr="00003316">
        <w:rPr>
          <w:rFonts w:ascii="Arial Narrow" w:eastAsia="Times New Roman" w:hAnsi="Arial Narrow" w:cs="Times New Roman"/>
          <w:i/>
          <w:color w:val="222222"/>
          <w:sz w:val="24"/>
          <w:szCs w:val="24"/>
          <w:lang w:eastAsia="fr-FR"/>
        </w:rPr>
        <w:t>« pages de garde, de signature et attestations de service fait des marchés correspondants au domaine »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, les dates, délais, coûts des études, sources de financement, les expériences et compétences dans le do</w:t>
      </w:r>
      <w:r w:rsid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maine des </w:t>
      </w:r>
      <w:r w:rsidR="007F2B6B"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>études, contrôle et surveillance des travaux de construction de bâtiments à deux (2) niveaux</w:t>
      </w:r>
      <w:r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.</w:t>
      </w:r>
    </w:p>
    <w:p w14:paraId="15557B2D" w14:textId="77777777" w:rsidR="0075325D" w:rsidRPr="007F2B6B" w:rsidRDefault="0075325D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14"/>
          <w:szCs w:val="14"/>
          <w:lang w:val="fr-CA" w:eastAsia="fr-FR"/>
        </w:rPr>
      </w:pPr>
    </w:p>
    <w:p w14:paraId="3E0971AA" w14:textId="264657F9" w:rsidR="00D218BB" w:rsidRPr="007F2B6B" w:rsidRDefault="00D218BB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Les termes de référence sont consultables à la D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irection des 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F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inances et du 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M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atériel du Ministère de l’Emploi et de la Formation P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rofessionnelle</w:t>
      </w:r>
      <w:r w:rsidR="00003316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(DFM-MEFP)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.</w:t>
      </w:r>
    </w:p>
    <w:p w14:paraId="71702E76" w14:textId="77777777" w:rsidR="0075325D" w:rsidRPr="007F2B6B" w:rsidRDefault="0075325D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6"/>
          <w:szCs w:val="6"/>
          <w:lang w:eastAsia="fr-FR"/>
        </w:rPr>
      </w:pPr>
    </w:p>
    <w:p w14:paraId="456B15DE" w14:textId="77777777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8"/>
          <w:szCs w:val="8"/>
          <w:lang w:eastAsia="fr-FR"/>
        </w:rPr>
      </w:pPr>
    </w:p>
    <w:p w14:paraId="485AF836" w14:textId="19B86649" w:rsidR="0051688B" w:rsidRPr="007F2B6B" w:rsidRDefault="0051688B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2. Objet : </w:t>
      </w:r>
    </w:p>
    <w:p w14:paraId="5238AB41" w14:textId="448F0356" w:rsidR="0051688B" w:rsidRPr="00003316" w:rsidRDefault="0051688B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La mission a pour objectif principal : </w:t>
      </w:r>
      <w:r w:rsidRPr="00003316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>« </w:t>
      </w:r>
      <w:r w:rsidR="00003316" w:rsidRPr="00003316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>é</w:t>
      </w:r>
      <w:r w:rsidR="00003316" w:rsidRPr="00003316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tudier, contrôler et surveiller les travaux de construction des Directions Nationales de l’Emploi et de la Formation Professionnelle (DNE-DNFP) dans le District de Bamako</w:t>
      </w:r>
      <w:r w:rsidR="00003316" w:rsidRPr="00003316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 xml:space="preserve"> »</w:t>
      </w:r>
      <w:r w:rsidR="00E05AD4" w:rsidRPr="00003316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>.</w:t>
      </w:r>
    </w:p>
    <w:p w14:paraId="0C5F21CE" w14:textId="77777777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14"/>
          <w:szCs w:val="14"/>
          <w:lang w:eastAsia="fr-FR"/>
        </w:rPr>
      </w:pPr>
    </w:p>
    <w:p w14:paraId="25762647" w14:textId="172AC5BF" w:rsidR="0051688B" w:rsidRPr="007F2B6B" w:rsidRDefault="0051688B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3. Durée de la mission : </w:t>
      </w:r>
    </w:p>
    <w:p w14:paraId="6C18EF26" w14:textId="42829A54" w:rsidR="0051688B" w:rsidRDefault="0051688B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shd w:val="clear" w:color="auto" w:fill="FFC000"/>
          <w:lang w:eastAsia="fr-FR"/>
        </w:rPr>
      </w:pP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La mission s’étendra à partir de la date de réception de l’ordre de service de commencer les prestations sur une durée de </w:t>
      </w:r>
      <w:r w:rsidR="00704C4F" w:rsidRPr="00704C4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seize et demi</w:t>
      </w:r>
      <w:r w:rsidR="0054311F" w:rsidRPr="00704C4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(</w:t>
      </w:r>
      <w:r w:rsidR="00704C4F" w:rsidRPr="00704C4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16.5</w:t>
      </w:r>
      <w:r w:rsidR="0054311F" w:rsidRPr="00704C4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) mois</w:t>
      </w:r>
      <w:r w:rsidRPr="00704C4F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.</w:t>
      </w:r>
    </w:p>
    <w:p w14:paraId="2767517F" w14:textId="67FB18A7" w:rsidR="00704C4F" w:rsidRDefault="00704C4F" w:rsidP="00704C4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Un et demi (1,5) mois pour les études ;</w:t>
      </w:r>
    </w:p>
    <w:p w14:paraId="26ED9B5B" w14:textId="2785A490" w:rsidR="00704C4F" w:rsidRPr="00704C4F" w:rsidRDefault="00704C4F" w:rsidP="00704C4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Quinze (15) mois pour le contrôle et la surveillance des travaux.</w:t>
      </w:r>
    </w:p>
    <w:p w14:paraId="58C4815A" w14:textId="77777777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14"/>
          <w:szCs w:val="14"/>
          <w:lang w:eastAsia="fr-FR"/>
        </w:rPr>
      </w:pPr>
    </w:p>
    <w:p w14:paraId="49DFCF7D" w14:textId="572E616D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color w:val="222222"/>
          <w:sz w:val="24"/>
          <w:szCs w:val="24"/>
          <w:lang w:eastAsia="fr-FR"/>
        </w:rPr>
        <w:t>4. Financement de la mission :</w:t>
      </w:r>
    </w:p>
    <w:p w14:paraId="2A27C87A" w14:textId="0224EB44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Le financement est assuré par le Budget National, exercice</w:t>
      </w:r>
      <w:r w:rsidR="0054311F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s 2021 ; 2022 et 2023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.</w:t>
      </w:r>
    </w:p>
    <w:p w14:paraId="3C842FA3" w14:textId="77777777" w:rsidR="00E05AD4" w:rsidRPr="007F2B6B" w:rsidRDefault="00E05AD4" w:rsidP="00E05AD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16"/>
          <w:szCs w:val="16"/>
          <w:lang w:eastAsia="fr-FR"/>
        </w:rPr>
      </w:pPr>
    </w:p>
    <w:p w14:paraId="4E42B407" w14:textId="45DDEEB1" w:rsidR="0054311F" w:rsidRDefault="00E05AD4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5.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Le document de manifestation d’intérêt ainsi constitué doit porter la mention </w:t>
      </w:r>
      <w:r w:rsidR="0092208C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« A </w:t>
      </w:r>
      <w:r w:rsidR="009F77AF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Monsieur le Directeur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</w:t>
      </w:r>
      <w:r w:rsidR="009F77AF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des Finances et du Matériel du Ministère 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de l’Emploi</w:t>
      </w:r>
      <w:r w:rsidR="009F77AF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et de la Formation Professionnelle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(DFM-MEFP)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</w:t>
      </w:r>
      <w:r w:rsidR="0092208C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– Réponse à l’avis de manifestation d’intérêt 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N°001-MEFP-DFM-2021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, </w:t>
      </w:r>
      <w:r w:rsidR="0092208C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relatif au 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recrutement d’un consultant pour 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l’étude, le contrôle et la surveillance d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es travaux de construction des Directions Nationales de l’Emploi et de la Formation P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rofessionnelle (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DNE-DNFP) dans le District 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lastRenderedPageBreak/>
        <w:t>de B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amako</w:t>
      </w:r>
      <w:r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»</w:t>
      </w:r>
      <w:r w:rsidR="008B44A9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et envoyé </w:t>
      </w:r>
      <w:r w:rsidR="005B1BE7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physiquement </w:t>
      </w:r>
      <w:r w:rsidR="00A34B85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à la Direction des Finances et Matériel du Ministère de l’Emploi et de la Formation Professionnelle, </w:t>
      </w:r>
      <w:r w:rsidR="0054311F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sise à </w:t>
      </w:r>
      <w:r w:rsidR="00A34B85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Hamdallaye ACI 2000</w:t>
      </w:r>
      <w:r w:rsidR="00A34B85" w:rsidRPr="007F2B6B">
        <w:rPr>
          <w:rFonts w:ascii="Arial Narrow" w:hAnsi="Arial Narrow"/>
          <w:sz w:val="20"/>
          <w:szCs w:val="20"/>
        </w:rPr>
        <w:t xml:space="preserve"> , </w:t>
      </w:r>
      <w:r w:rsidR="0057082A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face au restaurant « La vielle marmite »</w:t>
      </w:r>
      <w:r w:rsidR="00A34B85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au plus tard </w:t>
      </w:r>
      <w:r w:rsidR="0092208C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highlight w:val="yellow"/>
          <w:lang w:eastAsia="fr-FR"/>
        </w:rPr>
        <w:t xml:space="preserve">le </w:t>
      </w:r>
      <w:r w:rsidR="0057082A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highlight w:val="yellow"/>
          <w:lang w:eastAsia="fr-FR"/>
        </w:rPr>
        <w:t>……………….2020</w:t>
      </w:r>
      <w:r w:rsidR="0057082A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.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</w:p>
    <w:p w14:paraId="577CE9D8" w14:textId="133A5421" w:rsidR="0057082A" w:rsidRPr="007F2B6B" w:rsidRDefault="0092208C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Après analyse des dossiers reçus, seuls les candidats ayant prouvé une expérience pertinente en matière 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d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’étude, 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de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contrôle et 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de</w:t>
      </w:r>
      <w:r w:rsidR="0054311F" w:rsidRP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surveillance des travaux de construction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de bâtiments à deux (2) niveaux au moins,</w:t>
      </w:r>
      <w:r w:rsidR="0054311F" w:rsidRPr="0054311F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seront inscrits sur la liste restreinte des consultants et informés des résultats du présent avis. </w:t>
      </w:r>
    </w:p>
    <w:p w14:paraId="3C3E3C5F" w14:textId="77777777" w:rsidR="0075325D" w:rsidRPr="007F2B6B" w:rsidRDefault="0075325D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16"/>
          <w:szCs w:val="16"/>
          <w:lang w:eastAsia="fr-FR"/>
        </w:rPr>
      </w:pPr>
    </w:p>
    <w:p w14:paraId="58A33BC0" w14:textId="4CCC564B" w:rsidR="0092208C" w:rsidRPr="007F2B6B" w:rsidRDefault="00E05AD4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  <w:r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6.</w:t>
      </w:r>
      <w:r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Les Candidats intéressés peuvent obtenir des informations </w:t>
      </w:r>
      <w:r w:rsidR="003B4224" w:rsidRPr="007F2B6B">
        <w:rPr>
          <w:rFonts w:ascii="Arial Narrow" w:eastAsia="Times New Roman" w:hAnsi="Arial Narrow" w:cs="Times New Roman"/>
          <w:color w:val="222222"/>
          <w:sz w:val="24"/>
          <w:szCs w:val="24"/>
          <w:lang w:val="fr-CA" w:eastAsia="fr-FR"/>
        </w:rPr>
        <w:t>complémentaires tous les jours ouvrables de 08 H 00 GMT à 16 H 00 GMT,</w:t>
      </w:r>
      <w:r w:rsidR="003B4224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8B44A9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>à la</w:t>
      </w:r>
      <w:r w:rsidR="0092208C" w:rsidRPr="007F2B6B">
        <w:rPr>
          <w:rFonts w:ascii="Arial Narrow" w:eastAsia="Times New Roman" w:hAnsi="Arial Narrow" w:cs="Times New Roman"/>
          <w:color w:val="222222"/>
          <w:sz w:val="24"/>
          <w:szCs w:val="24"/>
          <w:lang w:eastAsia="fr-FR"/>
        </w:rPr>
        <w:t xml:space="preserve"> 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Direction </w:t>
      </w:r>
      <w:r w:rsidR="009F77AF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des Finances et Matériel du Ministère de l’Emploi et de la Formation Professionnelle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, </w:t>
      </w:r>
      <w:r w:rsidR="0057082A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-</w:t>
      </w:r>
      <w:r w:rsidR="0057082A" w:rsidRPr="007F2B6B">
        <w:rPr>
          <w:rFonts w:ascii="Arial Narrow" w:hAnsi="Arial Narrow"/>
          <w:b/>
          <w:bCs/>
          <w:sz w:val="20"/>
          <w:szCs w:val="20"/>
        </w:rPr>
        <w:t xml:space="preserve"> </w:t>
      </w:r>
      <w:r w:rsidR="0057082A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Hamdallaye ACI 2000- Bamako, face au restaurant « la vielle marmite »,</w:t>
      </w:r>
      <w:r w:rsidR="00A34B85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Tél : </w:t>
      </w:r>
      <w:r w:rsidR="008B44A9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</w:t>
      </w:r>
      <w:r w:rsidR="00A34B85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20.29.91.11</w:t>
      </w:r>
      <w:r w:rsidR="0054311F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/76 20 02 95</w:t>
      </w:r>
      <w:r w:rsidR="00A34B85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 ; Fax : 20.21.91.90</w:t>
      </w:r>
      <w:r w:rsidR="003B4224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>.</w:t>
      </w:r>
      <w:r w:rsidR="00A34B85" w:rsidRPr="007F2B6B"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  <w:t xml:space="preserve"> </w:t>
      </w:r>
    </w:p>
    <w:p w14:paraId="362E0CD3" w14:textId="77777777" w:rsidR="0075325D" w:rsidRPr="007F2B6B" w:rsidRDefault="0075325D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24"/>
          <w:szCs w:val="24"/>
          <w:lang w:eastAsia="fr-FR"/>
        </w:rPr>
      </w:pPr>
    </w:p>
    <w:p w14:paraId="03D20714" w14:textId="77777777" w:rsidR="0075325D" w:rsidRPr="007F2B6B" w:rsidRDefault="0075325D" w:rsidP="0075325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22222"/>
          <w:sz w:val="14"/>
          <w:szCs w:val="14"/>
          <w:lang w:eastAsia="fr-FR"/>
        </w:rPr>
      </w:pPr>
    </w:p>
    <w:p w14:paraId="0C8C996B" w14:textId="22807556" w:rsidR="0075325D" w:rsidRPr="007F2B6B" w:rsidRDefault="0075325D" w:rsidP="0075325D">
      <w:pPr>
        <w:spacing w:line="360" w:lineRule="auto"/>
        <w:jc w:val="both"/>
        <w:rPr>
          <w:rFonts w:ascii="Arial Narrow" w:hAnsi="Arial Narrow" w:cs="Times New Roman"/>
          <w:b/>
          <w:bCs/>
          <w:iCs/>
        </w:rPr>
      </w:pPr>
      <w:r w:rsidRPr="007F2B6B">
        <w:rPr>
          <w:rFonts w:ascii="Arial Narrow" w:hAnsi="Arial Narrow"/>
          <w:b/>
          <w:bCs/>
          <w:iCs/>
        </w:rPr>
        <w:t xml:space="preserve">                                                  </w:t>
      </w:r>
      <w:r w:rsidRPr="007F2B6B">
        <w:rPr>
          <w:rFonts w:ascii="Arial Narrow" w:hAnsi="Arial Narrow" w:cs="Times New Roman"/>
          <w:b/>
          <w:bCs/>
          <w:iCs/>
        </w:rPr>
        <w:t>LE DIRECTEUR DES FINANCES ET DU MATERIEL</w:t>
      </w:r>
    </w:p>
    <w:p w14:paraId="0F8289D0" w14:textId="6D9A2601" w:rsidR="0075325D" w:rsidRDefault="0075325D" w:rsidP="0075325D">
      <w:pPr>
        <w:jc w:val="both"/>
        <w:rPr>
          <w:rFonts w:ascii="Arial Narrow" w:hAnsi="Arial Narrow" w:cs="Times New Roman"/>
          <w:b/>
          <w:bCs/>
        </w:rPr>
      </w:pPr>
    </w:p>
    <w:p w14:paraId="4DB0D7DE" w14:textId="77777777" w:rsidR="00704C4F" w:rsidRPr="007F2B6B" w:rsidRDefault="00704C4F" w:rsidP="0075325D">
      <w:pPr>
        <w:jc w:val="both"/>
        <w:rPr>
          <w:rFonts w:ascii="Arial Narrow" w:hAnsi="Arial Narrow" w:cs="Times New Roman"/>
          <w:b/>
          <w:bCs/>
        </w:rPr>
      </w:pPr>
      <w:bookmarkStart w:id="1" w:name="_GoBack"/>
      <w:bookmarkEnd w:id="1"/>
    </w:p>
    <w:p w14:paraId="3C9080B8" w14:textId="77777777" w:rsidR="0075325D" w:rsidRPr="007F2B6B" w:rsidRDefault="0075325D" w:rsidP="0075325D">
      <w:pPr>
        <w:jc w:val="both"/>
        <w:rPr>
          <w:rFonts w:ascii="Arial Narrow" w:hAnsi="Arial Narrow" w:cs="Times New Roman"/>
          <w:b/>
          <w:bCs/>
          <w:sz w:val="6"/>
          <w:szCs w:val="6"/>
        </w:rPr>
      </w:pPr>
    </w:p>
    <w:p w14:paraId="092739D9" w14:textId="7F84D3B1" w:rsidR="0075325D" w:rsidRPr="007F2B6B" w:rsidRDefault="0075325D" w:rsidP="0075325D">
      <w:pPr>
        <w:spacing w:after="0"/>
        <w:jc w:val="both"/>
        <w:rPr>
          <w:rFonts w:ascii="Arial Narrow" w:hAnsi="Arial Narrow" w:cs="Times New Roman"/>
          <w:b/>
          <w:bCs/>
          <w:u w:val="single"/>
        </w:rPr>
      </w:pPr>
      <w:r w:rsidRPr="007F2B6B">
        <w:rPr>
          <w:rFonts w:ascii="Arial Narrow" w:hAnsi="Arial Narrow" w:cs="Times New Roman"/>
          <w:b/>
          <w:bCs/>
        </w:rPr>
        <w:t xml:space="preserve">                                                                                      </w:t>
      </w:r>
      <w:r w:rsidRPr="007F2B6B">
        <w:rPr>
          <w:rFonts w:ascii="Arial Narrow" w:hAnsi="Arial Narrow" w:cs="Times New Roman"/>
          <w:b/>
          <w:bCs/>
          <w:u w:val="single"/>
        </w:rPr>
        <w:t>Eli DIALLO</w:t>
      </w:r>
    </w:p>
    <w:p w14:paraId="7DADCB1C" w14:textId="11F2050C" w:rsidR="0092208C" w:rsidRPr="007F2B6B" w:rsidRDefault="0075325D" w:rsidP="0075325D">
      <w:pPr>
        <w:spacing w:after="0"/>
        <w:jc w:val="both"/>
        <w:rPr>
          <w:rFonts w:ascii="Arial Narrow" w:hAnsi="Arial Narrow" w:cs="Times New Roman"/>
          <w:i/>
        </w:rPr>
      </w:pPr>
      <w:r w:rsidRPr="007F2B6B">
        <w:rPr>
          <w:rFonts w:ascii="Arial Narrow" w:hAnsi="Arial Narrow" w:cs="Times New Roman"/>
          <w:b/>
          <w:bCs/>
          <w:szCs w:val="16"/>
        </w:rPr>
        <w:t xml:space="preserve">                                                                          </w:t>
      </w:r>
      <w:r w:rsidRPr="007F2B6B">
        <w:rPr>
          <w:rFonts w:ascii="Arial Narrow" w:hAnsi="Arial Narrow" w:cs="Times New Roman"/>
          <w:i/>
          <w:szCs w:val="16"/>
        </w:rPr>
        <w:t>Médaillé du Mérite National</w:t>
      </w:r>
      <w:r w:rsidR="0092208C" w:rsidRPr="007F2B6B">
        <w:rPr>
          <w:rFonts w:ascii="Arial Narrow" w:eastAsia="Times New Roman" w:hAnsi="Arial Narrow" w:cs="Arial"/>
          <w:vanish/>
          <w:sz w:val="14"/>
          <w:szCs w:val="14"/>
          <w:lang w:eastAsia="fr-FR"/>
        </w:rPr>
        <w:t>Haut du formulaire</w:t>
      </w:r>
    </w:p>
    <w:p w14:paraId="0F55F0B4" w14:textId="77777777" w:rsidR="0092208C" w:rsidRPr="007F2B6B" w:rsidRDefault="0092208C" w:rsidP="0057082A">
      <w:pPr>
        <w:pBdr>
          <w:top w:val="single" w:sz="6" w:space="1" w:color="auto"/>
        </w:pBdr>
        <w:spacing w:after="0" w:line="240" w:lineRule="auto"/>
        <w:jc w:val="both"/>
        <w:rPr>
          <w:rFonts w:ascii="Arial Narrow" w:eastAsia="Times New Roman" w:hAnsi="Arial Narrow" w:cs="Arial"/>
          <w:vanish/>
          <w:sz w:val="14"/>
          <w:szCs w:val="14"/>
          <w:lang w:eastAsia="fr-FR"/>
        </w:rPr>
      </w:pPr>
      <w:r w:rsidRPr="007F2B6B">
        <w:rPr>
          <w:rFonts w:ascii="Arial Narrow" w:eastAsia="Times New Roman" w:hAnsi="Arial Narrow" w:cs="Arial"/>
          <w:vanish/>
          <w:sz w:val="14"/>
          <w:szCs w:val="14"/>
          <w:lang w:eastAsia="fr-FR"/>
        </w:rPr>
        <w:t>Bas du formulaire</w:t>
      </w:r>
    </w:p>
    <w:p w14:paraId="6EFFE2DC" w14:textId="77777777" w:rsidR="0092208C" w:rsidRPr="007F2B6B" w:rsidRDefault="0092208C" w:rsidP="0057082A">
      <w:pPr>
        <w:pBdr>
          <w:bottom w:val="single" w:sz="6" w:space="1" w:color="auto"/>
        </w:pBdr>
        <w:spacing w:after="0" w:line="240" w:lineRule="auto"/>
        <w:jc w:val="both"/>
        <w:rPr>
          <w:rFonts w:ascii="Arial Narrow" w:eastAsia="Times New Roman" w:hAnsi="Arial Narrow" w:cs="Arial"/>
          <w:vanish/>
          <w:sz w:val="14"/>
          <w:szCs w:val="14"/>
          <w:lang w:eastAsia="fr-FR"/>
        </w:rPr>
      </w:pPr>
      <w:r w:rsidRPr="007F2B6B">
        <w:rPr>
          <w:rFonts w:ascii="Arial Narrow" w:eastAsia="Times New Roman" w:hAnsi="Arial Narrow" w:cs="Arial"/>
          <w:vanish/>
          <w:sz w:val="14"/>
          <w:szCs w:val="14"/>
          <w:lang w:eastAsia="fr-FR"/>
        </w:rPr>
        <w:t>Haut du formulaire</w:t>
      </w:r>
    </w:p>
    <w:p w14:paraId="69AEF7F9" w14:textId="77777777" w:rsidR="0092208C" w:rsidRPr="007F2B6B" w:rsidRDefault="0092208C" w:rsidP="0057082A">
      <w:pPr>
        <w:pBdr>
          <w:top w:val="single" w:sz="6" w:space="1" w:color="auto"/>
        </w:pBdr>
        <w:spacing w:after="0" w:line="240" w:lineRule="auto"/>
        <w:jc w:val="both"/>
        <w:rPr>
          <w:rFonts w:ascii="Arial Narrow" w:eastAsia="Times New Roman" w:hAnsi="Arial Narrow" w:cs="Arial"/>
          <w:vanish/>
          <w:sz w:val="14"/>
          <w:szCs w:val="14"/>
          <w:lang w:eastAsia="fr-FR"/>
        </w:rPr>
      </w:pPr>
      <w:r w:rsidRPr="007F2B6B">
        <w:rPr>
          <w:rFonts w:ascii="Arial Narrow" w:eastAsia="Times New Roman" w:hAnsi="Arial Narrow" w:cs="Arial"/>
          <w:vanish/>
          <w:sz w:val="14"/>
          <w:szCs w:val="14"/>
          <w:lang w:eastAsia="fr-FR"/>
        </w:rPr>
        <w:t>Bas du formulaire</w:t>
      </w:r>
    </w:p>
    <w:sectPr w:rsidR="0092208C" w:rsidRPr="007F2B6B" w:rsidSect="00A34B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745"/>
    <w:multiLevelType w:val="hybridMultilevel"/>
    <w:tmpl w:val="2B28E2CE"/>
    <w:lvl w:ilvl="0" w:tplc="7C1015F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D7256"/>
    <w:multiLevelType w:val="hybridMultilevel"/>
    <w:tmpl w:val="9BBAB4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8C"/>
    <w:rsid w:val="00003316"/>
    <w:rsid w:val="0004758F"/>
    <w:rsid w:val="000A7C99"/>
    <w:rsid w:val="000E6B24"/>
    <w:rsid w:val="0016592D"/>
    <w:rsid w:val="0017141C"/>
    <w:rsid w:val="001F0F21"/>
    <w:rsid w:val="00297D20"/>
    <w:rsid w:val="002C5B75"/>
    <w:rsid w:val="00317ECD"/>
    <w:rsid w:val="003B4224"/>
    <w:rsid w:val="00424000"/>
    <w:rsid w:val="00471B76"/>
    <w:rsid w:val="004C1408"/>
    <w:rsid w:val="005022A4"/>
    <w:rsid w:val="0051688B"/>
    <w:rsid w:val="005176ED"/>
    <w:rsid w:val="0054311F"/>
    <w:rsid w:val="0057082A"/>
    <w:rsid w:val="005B1BE7"/>
    <w:rsid w:val="00661CDF"/>
    <w:rsid w:val="006E153D"/>
    <w:rsid w:val="00704C4F"/>
    <w:rsid w:val="00747AA8"/>
    <w:rsid w:val="0075325D"/>
    <w:rsid w:val="007F2B6B"/>
    <w:rsid w:val="008B44A9"/>
    <w:rsid w:val="008C4077"/>
    <w:rsid w:val="0092208C"/>
    <w:rsid w:val="009A0CC3"/>
    <w:rsid w:val="009F77AF"/>
    <w:rsid w:val="00A34B85"/>
    <w:rsid w:val="00A52151"/>
    <w:rsid w:val="00A96621"/>
    <w:rsid w:val="00CB7EE6"/>
    <w:rsid w:val="00D218BB"/>
    <w:rsid w:val="00D2201B"/>
    <w:rsid w:val="00E05AD4"/>
    <w:rsid w:val="00E3489F"/>
    <w:rsid w:val="00F65A5E"/>
    <w:rsid w:val="00F7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B2A2"/>
  <w15:chartTrackingRefBased/>
  <w15:docId w15:val="{0E7B28F7-5DF7-4894-87FD-876E53F7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node">
    <w:name w:val="text-node"/>
    <w:basedOn w:val="Policepardfaut"/>
    <w:rsid w:val="0092208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220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2208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220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2208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1688B"/>
    <w:pPr>
      <w:ind w:left="720"/>
      <w:contextualSpacing/>
    </w:pPr>
  </w:style>
  <w:style w:type="table" w:customStyle="1" w:styleId="TableGrid">
    <w:name w:val="TableGrid"/>
    <w:rsid w:val="007F2B6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B1B1B1"/>
                        <w:bottom w:val="single" w:sz="6" w:space="0" w:color="B1B1B1"/>
                        <w:right w:val="single" w:sz="6" w:space="0" w:color="B1B1B1"/>
                      </w:divBdr>
                      <w:divsChild>
                        <w:div w:id="6972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0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63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Sangaré</dc:creator>
  <cp:keywords/>
  <dc:description/>
  <cp:lastModifiedBy>HP</cp:lastModifiedBy>
  <cp:revision>6</cp:revision>
  <cp:lastPrinted>2020-03-12T13:31:00Z</cp:lastPrinted>
  <dcterms:created xsi:type="dcterms:W3CDTF">2021-01-14T12:26:00Z</dcterms:created>
  <dcterms:modified xsi:type="dcterms:W3CDTF">2021-03-15T17:30:00Z</dcterms:modified>
</cp:coreProperties>
</file>