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55C4" w14:textId="0F0A149C" w:rsidR="002E7BEC" w:rsidRDefault="002E7BEC" w:rsidP="002E7BEC">
      <w:pPr>
        <w:tabs>
          <w:tab w:val="left" w:pos="1399"/>
        </w:tabs>
        <w:jc w:val="center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Avis d’Appel d’Offres Ouvert (A.A.O.O)</w:t>
      </w:r>
      <w:r w:rsidRPr="00D339EE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14:paraId="10C54DF6" w14:textId="77777777" w:rsidR="00B65237" w:rsidRPr="00D339EE" w:rsidRDefault="00B65237" w:rsidP="002E7BEC">
      <w:pPr>
        <w:tabs>
          <w:tab w:val="left" w:pos="1399"/>
        </w:tabs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14:paraId="68A70D14" w14:textId="7C4C8D10" w:rsidR="002E7BEC" w:rsidRDefault="002E7BEC" w:rsidP="002E7BEC">
      <w:pPr>
        <w:tabs>
          <w:tab w:val="left" w:pos="7555"/>
        </w:tabs>
        <w:rPr>
          <w:rFonts w:eastAsia="Calibri"/>
          <w:b/>
          <w:bCs/>
          <w:iCs/>
          <w:szCs w:val="24"/>
          <w:lang w:eastAsia="en-US"/>
        </w:rPr>
      </w:pPr>
      <w:r w:rsidRPr="00D339EE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Pr="00D339EE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 xml:space="preserve">      N°01/</w:t>
      </w:r>
      <w:r w:rsidRPr="00D339EE">
        <w:rPr>
          <w:rFonts w:eastAsia="Calibri"/>
          <w:b/>
          <w:bCs/>
          <w:iCs/>
          <w:szCs w:val="24"/>
          <w:lang w:eastAsia="en-US"/>
        </w:rPr>
        <w:t>CICB</w:t>
      </w:r>
      <w:r>
        <w:rPr>
          <w:rFonts w:eastAsia="Calibri"/>
          <w:b/>
          <w:bCs/>
          <w:iCs/>
          <w:szCs w:val="24"/>
          <w:lang w:eastAsia="en-US"/>
        </w:rPr>
        <w:t>- DF- 2021</w:t>
      </w:r>
      <w:r>
        <w:rPr>
          <w:rFonts w:eastAsia="Calibri"/>
          <w:b/>
          <w:bCs/>
          <w:iCs/>
          <w:szCs w:val="24"/>
          <w:lang w:eastAsia="en-US"/>
        </w:rPr>
        <w:tab/>
        <w:t xml:space="preserve">     </w:t>
      </w:r>
      <w:r w:rsidRPr="006B6DA3">
        <w:rPr>
          <w:rFonts w:eastAsia="Calibri"/>
          <w:b/>
          <w:bCs/>
          <w:iCs/>
          <w:szCs w:val="24"/>
          <w:u w:val="single"/>
          <w:lang w:eastAsia="en-US"/>
        </w:rPr>
        <w:t>Réf</w:t>
      </w:r>
      <w:r>
        <w:rPr>
          <w:rFonts w:eastAsia="Calibri"/>
          <w:b/>
          <w:bCs/>
          <w:iCs/>
          <w:szCs w:val="24"/>
          <w:lang w:eastAsia="en-US"/>
        </w:rPr>
        <w:t> : 6774</w:t>
      </w:r>
    </w:p>
    <w:p w14:paraId="1FCC8F95" w14:textId="77777777" w:rsidR="00B65237" w:rsidRPr="00D339EE" w:rsidRDefault="00B65237" w:rsidP="002E7BEC">
      <w:pPr>
        <w:tabs>
          <w:tab w:val="left" w:pos="7555"/>
        </w:tabs>
        <w:rPr>
          <w:rFonts w:eastAsia="Calibri"/>
          <w:b/>
          <w:bCs/>
          <w:iCs/>
          <w:szCs w:val="24"/>
          <w:lang w:eastAsia="en-US"/>
        </w:rPr>
      </w:pPr>
    </w:p>
    <w:p w14:paraId="6BADA00A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 xml:space="preserve">Cet Avis d’appel d’offres fait suite à l’Avis Général de Passation des Marchés.  </w:t>
      </w:r>
    </w:p>
    <w:p w14:paraId="7EE18F6C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/>
          <w:bCs/>
          <w:iCs/>
          <w:szCs w:val="24"/>
          <w:lang w:eastAsia="en-US"/>
        </w:rPr>
        <w:t>1</w:t>
      </w:r>
      <w:r w:rsidRPr="00D339EE">
        <w:rPr>
          <w:rFonts w:eastAsia="Calibri"/>
          <w:bCs/>
          <w:iCs/>
          <w:sz w:val="20"/>
          <w:lang w:eastAsia="en-US"/>
        </w:rPr>
        <w:t>. Le Centre International de conférence de Bamako dispose de fonds sur les ressources propres, afin de finan</w:t>
      </w:r>
      <w:r>
        <w:rPr>
          <w:rFonts w:eastAsia="Calibri"/>
          <w:bCs/>
          <w:iCs/>
          <w:sz w:val="20"/>
          <w:lang w:eastAsia="en-US"/>
        </w:rPr>
        <w:t xml:space="preserve">cer la fourniture de </w:t>
      </w:r>
      <w:r>
        <w:rPr>
          <w:rFonts w:eastAsia="Calibri"/>
          <w:b/>
          <w:bCs/>
          <w:iCs/>
          <w:sz w:val="20"/>
          <w:lang w:eastAsia="en-US"/>
        </w:rPr>
        <w:t>Denrées alimentaires</w:t>
      </w:r>
      <w:r w:rsidR="000D4BE9">
        <w:rPr>
          <w:rFonts w:eastAsia="Calibri"/>
          <w:b/>
          <w:bCs/>
          <w:iCs/>
          <w:sz w:val="20"/>
          <w:lang w:eastAsia="en-US"/>
        </w:rPr>
        <w:t xml:space="preserve"> en lot unique</w:t>
      </w:r>
      <w:r w:rsidRPr="00D339EE">
        <w:rPr>
          <w:rFonts w:eastAsia="Calibri"/>
          <w:bCs/>
          <w:iCs/>
          <w:sz w:val="20"/>
          <w:lang w:eastAsia="en-US"/>
        </w:rPr>
        <w:t xml:space="preserve">, et </w:t>
      </w:r>
      <w:r>
        <w:rPr>
          <w:rFonts w:eastAsia="Calibri"/>
          <w:bCs/>
          <w:iCs/>
          <w:sz w:val="20"/>
          <w:lang w:eastAsia="en-US"/>
        </w:rPr>
        <w:t>a</w:t>
      </w:r>
      <w:r w:rsidRPr="00D339EE">
        <w:rPr>
          <w:rFonts w:eastAsia="Calibri"/>
          <w:bCs/>
          <w:iCs/>
          <w:sz w:val="20"/>
          <w:lang w:eastAsia="en-US"/>
        </w:rPr>
        <w:t xml:space="preserve"> l’intention d’utiliser une partie de ces fonds pour effectuer des paiements au titre du dudit Marché.</w:t>
      </w:r>
    </w:p>
    <w:p w14:paraId="2E4822BD" w14:textId="77777777" w:rsidR="002E7BEC" w:rsidRPr="002E7BEC" w:rsidRDefault="002E7BEC" w:rsidP="002E7BEC">
      <w:pPr>
        <w:numPr>
          <w:ilvl w:val="0"/>
          <w:numId w:val="4"/>
        </w:numPr>
        <w:contextualSpacing/>
        <w:rPr>
          <w:rFonts w:eastAsia="Calibri"/>
          <w:bCs/>
          <w:iCs/>
          <w:sz w:val="20"/>
          <w:lang w:eastAsia="en-US"/>
        </w:rPr>
      </w:pPr>
      <w:r w:rsidRPr="002E7BEC">
        <w:rPr>
          <w:rFonts w:eastAsia="Calibri"/>
          <w:bCs/>
          <w:iCs/>
          <w:sz w:val="20"/>
          <w:lang w:eastAsia="en-US"/>
        </w:rPr>
        <w:t xml:space="preserve">Le  Centre International de conférence de Bamako sollicite des offres fermées de la part des candidats éligibles et répondant aux qualifications requises pour la fourniture  de </w:t>
      </w:r>
      <w:r>
        <w:rPr>
          <w:rFonts w:eastAsia="Calibri"/>
          <w:b/>
          <w:bCs/>
          <w:iCs/>
          <w:sz w:val="20"/>
          <w:lang w:eastAsia="en-US"/>
        </w:rPr>
        <w:t>Denrées alimentaires</w:t>
      </w:r>
      <w:r w:rsidR="000D4BE9">
        <w:rPr>
          <w:rFonts w:eastAsia="Calibri"/>
          <w:b/>
          <w:bCs/>
          <w:iCs/>
          <w:sz w:val="20"/>
          <w:lang w:eastAsia="en-US"/>
        </w:rPr>
        <w:t xml:space="preserve"> en lot unique</w:t>
      </w:r>
      <w:r w:rsidRPr="002E7BEC">
        <w:rPr>
          <w:rFonts w:eastAsia="Calibri"/>
          <w:b/>
          <w:bCs/>
          <w:iCs/>
          <w:szCs w:val="24"/>
          <w:lang w:eastAsia="en-US"/>
        </w:rPr>
        <w:t>.</w:t>
      </w:r>
    </w:p>
    <w:p w14:paraId="206973EB" w14:textId="1D143938" w:rsidR="002E7BEC" w:rsidRPr="002E7BEC" w:rsidRDefault="002E7BEC" w:rsidP="00226071">
      <w:pPr>
        <w:contextualSpacing/>
        <w:rPr>
          <w:rFonts w:eastAsia="Calibri"/>
          <w:bCs/>
          <w:iCs/>
          <w:sz w:val="20"/>
          <w:lang w:eastAsia="en-US"/>
        </w:rPr>
      </w:pPr>
      <w:r w:rsidRPr="002E7BEC">
        <w:rPr>
          <w:rFonts w:eastAsia="Calibri"/>
          <w:b/>
          <w:bCs/>
          <w:iCs/>
          <w:szCs w:val="24"/>
          <w:lang w:eastAsia="en-US"/>
        </w:rPr>
        <w:t>2</w:t>
      </w:r>
      <w:r w:rsidRPr="002E7BEC">
        <w:rPr>
          <w:rFonts w:eastAsia="Calibri"/>
          <w:bCs/>
          <w:iCs/>
          <w:sz w:val="20"/>
          <w:lang w:eastAsia="en-US"/>
        </w:rPr>
        <w:t xml:space="preserve">. La passation du Marché sera conduite par Appel </w:t>
      </w:r>
      <w:r w:rsidR="00226071" w:rsidRPr="002E7BEC">
        <w:rPr>
          <w:rFonts w:eastAsia="Calibri"/>
          <w:bCs/>
          <w:iCs/>
          <w:sz w:val="20"/>
          <w:lang w:eastAsia="en-US"/>
        </w:rPr>
        <w:t>d’Offres Ouvert tel</w:t>
      </w:r>
      <w:r w:rsidRPr="002E7BEC">
        <w:rPr>
          <w:rFonts w:eastAsia="Calibri"/>
          <w:bCs/>
          <w:iCs/>
          <w:sz w:val="20"/>
          <w:lang w:eastAsia="en-US"/>
        </w:rPr>
        <w:t xml:space="preserve"> que défini à l’article 24 de l’Arrêté N°2015-3721/MEF-SG du 22 octobre </w:t>
      </w:r>
      <w:r w:rsidR="00226071" w:rsidRPr="002E7BEC">
        <w:rPr>
          <w:rFonts w:eastAsia="Calibri"/>
          <w:bCs/>
          <w:iCs/>
          <w:sz w:val="20"/>
          <w:lang w:eastAsia="en-US"/>
        </w:rPr>
        <w:t>2015 et</w:t>
      </w:r>
      <w:r w:rsidRPr="002E7BEC">
        <w:rPr>
          <w:rFonts w:eastAsia="Calibri"/>
          <w:bCs/>
          <w:iCs/>
          <w:sz w:val="20"/>
          <w:lang w:eastAsia="en-US"/>
        </w:rPr>
        <w:t xml:space="preserve"> ouvert à tous les candidats éligibles. </w:t>
      </w:r>
    </w:p>
    <w:p w14:paraId="0890CE40" w14:textId="1983A286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/>
          <w:bCs/>
          <w:iCs/>
          <w:szCs w:val="24"/>
          <w:lang w:eastAsia="en-US"/>
        </w:rPr>
        <w:t>3</w:t>
      </w:r>
      <w:r w:rsidRPr="00D339EE">
        <w:rPr>
          <w:rFonts w:eastAsia="Calibri"/>
          <w:bCs/>
          <w:iCs/>
          <w:sz w:val="20"/>
          <w:lang w:eastAsia="en-US"/>
        </w:rPr>
        <w:t>. Les candidats intéressés peuvent obtenir des informations à la direct</w:t>
      </w:r>
      <w:r>
        <w:rPr>
          <w:rFonts w:eastAsia="Calibri"/>
          <w:bCs/>
          <w:iCs/>
          <w:sz w:val="20"/>
          <w:lang w:eastAsia="en-US"/>
        </w:rPr>
        <w:t>ion du Centre International de C</w:t>
      </w:r>
      <w:r w:rsidRPr="00D339EE">
        <w:rPr>
          <w:rFonts w:eastAsia="Calibri"/>
          <w:bCs/>
          <w:iCs/>
          <w:sz w:val="20"/>
          <w:lang w:eastAsia="en-US"/>
        </w:rPr>
        <w:t>onférence de Bamako</w:t>
      </w:r>
      <w:r>
        <w:rPr>
          <w:rFonts w:eastAsia="Calibri"/>
          <w:bCs/>
          <w:iCs/>
          <w:sz w:val="20"/>
          <w:lang w:eastAsia="en-US"/>
        </w:rPr>
        <w:t xml:space="preserve"> (CICB)</w:t>
      </w:r>
      <w:r w:rsidRPr="00D339EE">
        <w:rPr>
          <w:rFonts w:eastAsia="Calibri"/>
          <w:bCs/>
          <w:iCs/>
          <w:sz w:val="20"/>
          <w:lang w:eastAsia="en-US"/>
        </w:rPr>
        <w:t xml:space="preserve"> au</w:t>
      </w:r>
      <w:r>
        <w:rPr>
          <w:rFonts w:eastAsia="Calibri"/>
          <w:bCs/>
          <w:iCs/>
          <w:sz w:val="20"/>
          <w:lang w:eastAsia="en-US"/>
        </w:rPr>
        <w:t xml:space="preserve">près du Département Finance et </w:t>
      </w:r>
      <w:r w:rsidR="00226071">
        <w:rPr>
          <w:rFonts w:eastAsia="Calibri"/>
          <w:bCs/>
          <w:iCs/>
          <w:sz w:val="20"/>
          <w:lang w:eastAsia="en-US"/>
        </w:rPr>
        <w:t>Approvisionnement à</w:t>
      </w:r>
      <w:r>
        <w:rPr>
          <w:rFonts w:eastAsia="Calibri"/>
          <w:bCs/>
          <w:iCs/>
          <w:sz w:val="20"/>
          <w:lang w:eastAsia="en-US"/>
        </w:rPr>
        <w:t xml:space="preserve"> l’adresse de </w:t>
      </w:r>
      <w:r w:rsidR="00226071">
        <w:rPr>
          <w:rFonts w:eastAsia="Calibri"/>
          <w:bCs/>
          <w:iCs/>
          <w:sz w:val="20"/>
          <w:lang w:eastAsia="en-US"/>
        </w:rPr>
        <w:t>Oumarou COULIBALY</w:t>
      </w:r>
      <w:r>
        <w:rPr>
          <w:rFonts w:eastAsia="Calibri"/>
          <w:bCs/>
          <w:iCs/>
          <w:sz w:val="20"/>
          <w:lang w:eastAsia="en-US"/>
        </w:rPr>
        <w:t>, t</w:t>
      </w:r>
      <w:r w:rsidRPr="00D339EE">
        <w:rPr>
          <w:rFonts w:eastAsia="Calibri"/>
          <w:bCs/>
          <w:iCs/>
          <w:sz w:val="20"/>
          <w:lang w:eastAsia="en-US"/>
        </w:rPr>
        <w:t>él : 76-26-21-09</w:t>
      </w:r>
      <w:r w:rsidR="005637EF">
        <w:rPr>
          <w:rFonts w:eastAsia="Calibri"/>
          <w:bCs/>
          <w:iCs/>
          <w:sz w:val="20"/>
          <w:lang w:eastAsia="en-US"/>
        </w:rPr>
        <w:t xml:space="preserve"> </w:t>
      </w:r>
      <w:r>
        <w:rPr>
          <w:iCs/>
          <w:sz w:val="20"/>
        </w:rPr>
        <w:t xml:space="preserve">ou du </w:t>
      </w:r>
      <w:r w:rsidR="00226071">
        <w:rPr>
          <w:iCs/>
          <w:sz w:val="20"/>
        </w:rPr>
        <w:t>Chef Service</w:t>
      </w:r>
      <w:r>
        <w:rPr>
          <w:iCs/>
          <w:sz w:val="20"/>
        </w:rPr>
        <w:t xml:space="preserve"> Appro</w:t>
      </w:r>
      <w:r w:rsidR="005637EF">
        <w:rPr>
          <w:iCs/>
          <w:sz w:val="20"/>
        </w:rPr>
        <w:t>visionnement, tél : 76-44-81-13.</w:t>
      </w:r>
    </w:p>
    <w:p w14:paraId="3645127E" w14:textId="77777777" w:rsidR="002E7BEC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/>
          <w:bCs/>
          <w:iCs/>
          <w:szCs w:val="24"/>
          <w:lang w:eastAsia="en-US"/>
        </w:rPr>
        <w:t>4</w:t>
      </w:r>
      <w:r w:rsidRPr="00D339EE">
        <w:rPr>
          <w:rFonts w:eastAsia="Calibri"/>
          <w:b/>
          <w:bCs/>
          <w:iCs/>
          <w:sz w:val="20"/>
          <w:lang w:eastAsia="en-US"/>
        </w:rPr>
        <w:t>.</w:t>
      </w:r>
      <w:r w:rsidRPr="00D339EE">
        <w:rPr>
          <w:rFonts w:eastAsia="Calibri"/>
          <w:bCs/>
          <w:iCs/>
          <w:sz w:val="20"/>
          <w:lang w:eastAsia="en-US"/>
        </w:rPr>
        <w:t xml:space="preserve"> Les exigences en matière de qualifications sont :</w:t>
      </w:r>
    </w:p>
    <w:p w14:paraId="12E329D1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</w:p>
    <w:p w14:paraId="2FC7F9B0" w14:textId="77777777" w:rsidR="002E7BEC" w:rsidRPr="00A11AB6" w:rsidRDefault="002E7BEC" w:rsidP="002E7BEC">
      <w:pPr>
        <w:rPr>
          <w:rFonts w:eastAsia="Calibri"/>
          <w:b/>
          <w:bCs/>
          <w:iCs/>
          <w:sz w:val="20"/>
          <w:lang w:eastAsia="en-US"/>
        </w:rPr>
      </w:pPr>
      <w:r w:rsidRPr="00A11AB6">
        <w:rPr>
          <w:rFonts w:eastAsia="Calibri"/>
          <w:b/>
          <w:bCs/>
          <w:iCs/>
          <w:sz w:val="20"/>
          <w:lang w:eastAsia="en-US"/>
        </w:rPr>
        <w:t>Capacité financière</w:t>
      </w:r>
      <w:r>
        <w:rPr>
          <w:rFonts w:eastAsia="Calibri"/>
          <w:b/>
          <w:bCs/>
          <w:iCs/>
          <w:sz w:val="20"/>
          <w:lang w:eastAsia="en-US"/>
        </w:rPr>
        <w:t> :</w:t>
      </w:r>
    </w:p>
    <w:p w14:paraId="25C2A8B6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 xml:space="preserve">Le Soumissionnaire doit fournir la preuve écrite qu’il satisfait aux exigences ci-après : </w:t>
      </w:r>
    </w:p>
    <w:p w14:paraId="37CF0471" w14:textId="77777777" w:rsidR="002E7BEC" w:rsidRPr="00D339EE" w:rsidRDefault="002E7BEC" w:rsidP="002E7BEC">
      <w:pPr>
        <w:numPr>
          <w:ilvl w:val="0"/>
          <w:numId w:val="3"/>
        </w:numPr>
        <w:contextualSpacing/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 xml:space="preserve"> Fournir les états financiers (bilans et compt</w:t>
      </w:r>
      <w:r>
        <w:rPr>
          <w:rFonts w:eastAsia="Calibri"/>
          <w:bCs/>
          <w:iCs/>
          <w:sz w:val="20"/>
          <w:lang w:eastAsia="en-US"/>
        </w:rPr>
        <w:t>es de résultats) des années 2017, 2018 et 2019</w:t>
      </w:r>
      <w:r w:rsidRPr="00D339EE">
        <w:rPr>
          <w:rFonts w:eastAsia="Calibri"/>
          <w:bCs/>
          <w:iCs/>
          <w:sz w:val="20"/>
          <w:lang w:eastAsia="en-US"/>
        </w:rPr>
        <w:t>, certifiés par un expert-comptable agréé ou attestés par un comptable agréé inscrit à l’ordre. Sur lesdits bilans doit figurer la mention suivante apposée par le service compétent des Impôts « bilans ou extraits de bilans conformes aux déclarations souscrites au service des Impôts » ;</w:t>
      </w:r>
    </w:p>
    <w:p w14:paraId="1BEA30FB" w14:textId="77777777" w:rsidR="002E7BEC" w:rsidRDefault="002E7BEC" w:rsidP="002E7BEC">
      <w:pPr>
        <w:rPr>
          <w:rFonts w:eastAsia="Calibri"/>
          <w:bCs/>
          <w:iCs/>
          <w:sz w:val="20"/>
          <w:lang w:eastAsia="en-US"/>
        </w:rPr>
      </w:pPr>
      <w:r>
        <w:rPr>
          <w:rFonts w:eastAsia="Calibri"/>
          <w:bCs/>
          <w:iCs/>
          <w:sz w:val="20"/>
          <w:lang w:eastAsia="en-US"/>
        </w:rPr>
        <w:tab/>
        <w:t xml:space="preserve">Le chiffre d’affaires </w:t>
      </w:r>
      <w:r w:rsidRPr="00D339EE">
        <w:rPr>
          <w:rFonts w:eastAsia="Calibri"/>
          <w:bCs/>
          <w:iCs/>
          <w:sz w:val="20"/>
          <w:lang w:eastAsia="en-US"/>
        </w:rPr>
        <w:t xml:space="preserve"> des trois dernières</w:t>
      </w:r>
      <w:r>
        <w:rPr>
          <w:rFonts w:eastAsia="Calibri"/>
          <w:bCs/>
          <w:iCs/>
          <w:sz w:val="20"/>
          <w:lang w:eastAsia="en-US"/>
        </w:rPr>
        <w:t xml:space="preserve"> années (2017, 2018 et 2019) </w:t>
      </w:r>
      <w:r w:rsidRPr="00D339EE">
        <w:rPr>
          <w:rFonts w:eastAsia="Calibri"/>
          <w:bCs/>
          <w:iCs/>
          <w:sz w:val="20"/>
          <w:lang w:eastAsia="en-US"/>
        </w:rPr>
        <w:t xml:space="preserve"> tirés des états financiers certifiés ou a</w:t>
      </w:r>
      <w:r>
        <w:rPr>
          <w:rFonts w:eastAsia="Calibri"/>
          <w:bCs/>
          <w:iCs/>
          <w:sz w:val="20"/>
          <w:lang w:eastAsia="en-US"/>
        </w:rPr>
        <w:t>ttestés comme indiqué ci-dessus</w:t>
      </w:r>
      <w:r w:rsidRPr="00D339EE">
        <w:rPr>
          <w:rFonts w:eastAsia="Calibri"/>
          <w:bCs/>
          <w:iCs/>
          <w:sz w:val="20"/>
          <w:lang w:eastAsia="en-US"/>
        </w:rPr>
        <w:t xml:space="preserve"> ;</w:t>
      </w:r>
    </w:p>
    <w:p w14:paraId="0265BD11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>
        <w:rPr>
          <w:rFonts w:eastAsia="Calibri"/>
          <w:bCs/>
          <w:iCs/>
          <w:sz w:val="20"/>
          <w:lang w:eastAsia="en-US"/>
        </w:rPr>
        <w:t xml:space="preserve">               Le chiffre d’affaires moyen</w:t>
      </w:r>
      <w:r w:rsidRPr="00D339EE">
        <w:rPr>
          <w:rFonts w:eastAsia="Calibri"/>
          <w:bCs/>
          <w:iCs/>
          <w:sz w:val="20"/>
          <w:lang w:eastAsia="en-US"/>
        </w:rPr>
        <w:t xml:space="preserve"> des trois dernières</w:t>
      </w:r>
      <w:r>
        <w:rPr>
          <w:rFonts w:eastAsia="Calibri"/>
          <w:bCs/>
          <w:iCs/>
          <w:sz w:val="20"/>
          <w:lang w:eastAsia="en-US"/>
        </w:rPr>
        <w:t xml:space="preserve"> années (2017, 2018 et 2019) doit être  supérieur ou égal à </w:t>
      </w:r>
      <w:r w:rsidRPr="001F3E8A">
        <w:rPr>
          <w:rFonts w:eastAsia="Calibri"/>
          <w:b/>
          <w:bCs/>
          <w:iCs/>
          <w:sz w:val="20"/>
          <w:lang w:eastAsia="en-US"/>
        </w:rPr>
        <w:t>150 000 000 F CFA</w:t>
      </w:r>
      <w:r>
        <w:rPr>
          <w:rFonts w:eastAsia="Calibri"/>
          <w:bCs/>
          <w:iCs/>
          <w:sz w:val="20"/>
          <w:lang w:eastAsia="en-US"/>
        </w:rPr>
        <w:t xml:space="preserve"> </w:t>
      </w:r>
      <w:r w:rsidRPr="00D339EE">
        <w:rPr>
          <w:rFonts w:eastAsia="Calibri"/>
          <w:bCs/>
          <w:iCs/>
          <w:sz w:val="20"/>
          <w:lang w:eastAsia="en-US"/>
        </w:rPr>
        <w:t>;</w:t>
      </w:r>
    </w:p>
    <w:p w14:paraId="31BD66BA" w14:textId="7D923925" w:rsidR="00226071" w:rsidRDefault="002E7BEC" w:rsidP="002E7BEC">
      <w:pPr>
        <w:numPr>
          <w:ilvl w:val="0"/>
          <w:numId w:val="3"/>
        </w:numPr>
        <w:contextualSpacing/>
        <w:rPr>
          <w:rFonts w:eastAsia="Calibri"/>
          <w:bCs/>
          <w:iCs/>
          <w:sz w:val="20"/>
          <w:lang w:eastAsia="en-US"/>
        </w:rPr>
      </w:pPr>
      <w:r w:rsidRPr="00A11AB6">
        <w:rPr>
          <w:rFonts w:eastAsia="Calibri"/>
          <w:bCs/>
          <w:iCs/>
          <w:sz w:val="20"/>
          <w:lang w:eastAsia="en-US"/>
        </w:rPr>
        <w:t xml:space="preserve">Les entreprises nouvellement </w:t>
      </w:r>
      <w:r w:rsidR="00226071" w:rsidRPr="00A11AB6">
        <w:rPr>
          <w:rFonts w:eastAsia="Calibri"/>
          <w:bCs/>
          <w:iCs/>
          <w:sz w:val="20"/>
          <w:lang w:eastAsia="en-US"/>
        </w:rPr>
        <w:t>créées doivent</w:t>
      </w:r>
      <w:r w:rsidRPr="00A11AB6">
        <w:rPr>
          <w:rFonts w:eastAsia="Calibri"/>
          <w:bCs/>
          <w:iCs/>
          <w:sz w:val="20"/>
          <w:lang w:eastAsia="en-US"/>
        </w:rPr>
        <w:t xml:space="preserve"> fournir une ligne de crédit d’un </w:t>
      </w:r>
      <w:r>
        <w:rPr>
          <w:rFonts w:eastAsia="Calibri"/>
          <w:bCs/>
          <w:iCs/>
          <w:sz w:val="20"/>
          <w:lang w:eastAsia="en-US"/>
        </w:rPr>
        <w:t xml:space="preserve">montant égal </w:t>
      </w:r>
      <w:r w:rsidR="00226071">
        <w:rPr>
          <w:rFonts w:eastAsia="Calibri"/>
          <w:bCs/>
          <w:iCs/>
          <w:sz w:val="20"/>
          <w:lang w:eastAsia="en-US"/>
        </w:rPr>
        <w:t xml:space="preserve">à </w:t>
      </w:r>
    </w:p>
    <w:p w14:paraId="1412EB47" w14:textId="1F2A997C" w:rsidR="002E7BEC" w:rsidRDefault="00226071" w:rsidP="002E7BEC">
      <w:pPr>
        <w:numPr>
          <w:ilvl w:val="0"/>
          <w:numId w:val="3"/>
        </w:numPr>
        <w:contextualSpacing/>
        <w:rPr>
          <w:rFonts w:eastAsia="Calibri"/>
          <w:bCs/>
          <w:iCs/>
          <w:sz w:val="20"/>
          <w:lang w:eastAsia="en-US"/>
        </w:rPr>
      </w:pPr>
      <w:r>
        <w:rPr>
          <w:rFonts w:eastAsia="Calibri"/>
          <w:bCs/>
          <w:iCs/>
          <w:sz w:val="20"/>
          <w:lang w:eastAsia="en-US"/>
        </w:rPr>
        <w:t>40 000 000 de francs CFA</w:t>
      </w:r>
      <w:r w:rsidR="002E7BEC">
        <w:rPr>
          <w:rFonts w:eastAsia="Calibri"/>
          <w:bCs/>
          <w:iCs/>
          <w:sz w:val="20"/>
          <w:lang w:eastAsia="en-US"/>
        </w:rPr>
        <w:t>.</w:t>
      </w:r>
    </w:p>
    <w:p w14:paraId="34D8BBD1" w14:textId="77777777" w:rsidR="002E7BEC" w:rsidRDefault="002E7BEC" w:rsidP="002E7BEC">
      <w:pPr>
        <w:ind w:left="720"/>
        <w:contextualSpacing/>
        <w:rPr>
          <w:rFonts w:eastAsia="Calibri"/>
          <w:bCs/>
          <w:iCs/>
          <w:sz w:val="20"/>
          <w:lang w:eastAsia="en-US"/>
        </w:rPr>
      </w:pPr>
      <w:r w:rsidRPr="00A11AB6">
        <w:rPr>
          <w:rFonts w:eastAsia="Calibri"/>
          <w:bCs/>
          <w:iCs/>
          <w:sz w:val="20"/>
          <w:lang w:eastAsia="en-US"/>
        </w:rPr>
        <w:t xml:space="preserve"> </w:t>
      </w:r>
    </w:p>
    <w:p w14:paraId="79AA142B" w14:textId="77777777" w:rsidR="002E7BEC" w:rsidRPr="00A11AB6" w:rsidRDefault="002E7BEC" w:rsidP="002E7BEC">
      <w:pPr>
        <w:contextualSpacing/>
        <w:rPr>
          <w:rFonts w:eastAsia="Calibri"/>
          <w:b/>
          <w:bCs/>
          <w:iCs/>
          <w:sz w:val="20"/>
          <w:lang w:eastAsia="en-US"/>
        </w:rPr>
      </w:pPr>
      <w:r w:rsidRPr="00A11AB6">
        <w:rPr>
          <w:rFonts w:eastAsia="Calibri"/>
          <w:b/>
          <w:bCs/>
          <w:iCs/>
          <w:sz w:val="20"/>
          <w:lang w:eastAsia="en-US"/>
        </w:rPr>
        <w:t>Capacité technique et expérience</w:t>
      </w:r>
      <w:r>
        <w:rPr>
          <w:rFonts w:eastAsia="Calibri"/>
          <w:b/>
          <w:bCs/>
          <w:iCs/>
          <w:sz w:val="20"/>
          <w:lang w:eastAsia="en-US"/>
        </w:rPr>
        <w:t> :</w:t>
      </w:r>
    </w:p>
    <w:p w14:paraId="0CD4AE42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>Le Soumissionnaire doit prouver, documentation à l’appui qu’il satisfait aux</w:t>
      </w:r>
      <w:r>
        <w:rPr>
          <w:rFonts w:eastAsia="Calibri"/>
          <w:bCs/>
          <w:iCs/>
          <w:sz w:val="20"/>
          <w:lang w:eastAsia="en-US"/>
        </w:rPr>
        <w:t xml:space="preserve"> exigences de capacité d’expérience</w:t>
      </w:r>
      <w:r w:rsidRPr="00D339EE">
        <w:rPr>
          <w:rFonts w:eastAsia="Calibri"/>
          <w:bCs/>
          <w:iCs/>
          <w:sz w:val="20"/>
          <w:lang w:eastAsia="en-US"/>
        </w:rPr>
        <w:t xml:space="preserve"> ci-après : </w:t>
      </w:r>
    </w:p>
    <w:p w14:paraId="562DDE89" w14:textId="55AE1110" w:rsidR="002E7BEC" w:rsidRPr="006C0D8A" w:rsidRDefault="002E7BEC" w:rsidP="002E7BEC">
      <w:pPr>
        <w:pStyle w:val="Paragraphedeliste"/>
        <w:numPr>
          <w:ilvl w:val="0"/>
          <w:numId w:val="3"/>
        </w:numPr>
        <w:rPr>
          <w:bCs/>
          <w:sz w:val="20"/>
          <w:u w:val="single"/>
        </w:rPr>
      </w:pPr>
      <w:r>
        <w:rPr>
          <w:sz w:val="20"/>
        </w:rPr>
        <w:t xml:space="preserve"> </w:t>
      </w:r>
      <w:r w:rsidR="00226071">
        <w:rPr>
          <w:sz w:val="20"/>
        </w:rPr>
        <w:t>Deux</w:t>
      </w:r>
      <w:r w:rsidR="00226071" w:rsidRPr="006C0D8A">
        <w:rPr>
          <w:sz w:val="20"/>
        </w:rPr>
        <w:t xml:space="preserve"> (</w:t>
      </w:r>
      <w:r w:rsidRPr="006C0D8A">
        <w:rPr>
          <w:sz w:val="20"/>
        </w:rPr>
        <w:t>0</w:t>
      </w:r>
      <w:r w:rsidR="00226071">
        <w:rPr>
          <w:sz w:val="20"/>
        </w:rPr>
        <w:t>2</w:t>
      </w:r>
      <w:r w:rsidRPr="006C0D8A">
        <w:rPr>
          <w:sz w:val="20"/>
        </w:rPr>
        <w:t>) marchés similaires</w:t>
      </w:r>
      <w:r>
        <w:rPr>
          <w:sz w:val="20"/>
        </w:rPr>
        <w:t xml:space="preserve"> (2016 à 2020),</w:t>
      </w:r>
      <w:r w:rsidRPr="006C0D8A">
        <w:rPr>
          <w:sz w:val="20"/>
        </w:rPr>
        <w:t xml:space="preserve"> ces marchés doivent être attestés par une attestation de bonne exécution ou le PV de réception définitive accompagné</w:t>
      </w:r>
      <w:r>
        <w:rPr>
          <w:sz w:val="20"/>
        </w:rPr>
        <w:t>s</w:t>
      </w:r>
      <w:r w:rsidRPr="006C0D8A">
        <w:rPr>
          <w:sz w:val="20"/>
        </w:rPr>
        <w:t xml:space="preserve"> des copies des pages de garde et de signature des marchés conclus avec les services publics, parapublics ou les organismes internationaux au cours des cinq</w:t>
      </w:r>
      <w:r>
        <w:rPr>
          <w:sz w:val="20"/>
        </w:rPr>
        <w:t xml:space="preserve"> dernières années (2016 à 2020) ;</w:t>
      </w:r>
    </w:p>
    <w:p w14:paraId="14BBD007" w14:textId="11D183CF" w:rsidR="002E7BEC" w:rsidRDefault="002E7BEC" w:rsidP="002E7BEC">
      <w:pPr>
        <w:jc w:val="both"/>
        <w:rPr>
          <w:rFonts w:eastAsia="Calibri"/>
          <w:bCs/>
          <w:iCs/>
          <w:sz w:val="20"/>
          <w:lang w:eastAsia="en-US"/>
        </w:rPr>
      </w:pPr>
      <w:r w:rsidRPr="00D339EE">
        <w:rPr>
          <w:rFonts w:eastAsia="Calibri"/>
          <w:b/>
          <w:bCs/>
          <w:iCs/>
          <w:szCs w:val="24"/>
          <w:lang w:eastAsia="en-US"/>
        </w:rPr>
        <w:t>5</w:t>
      </w:r>
      <w:r w:rsidRPr="00D339EE">
        <w:rPr>
          <w:rFonts w:eastAsia="Calibri"/>
          <w:b/>
          <w:bCs/>
          <w:iCs/>
          <w:sz w:val="20"/>
          <w:lang w:eastAsia="en-US"/>
        </w:rPr>
        <w:t>.</w:t>
      </w:r>
      <w:r>
        <w:rPr>
          <w:rFonts w:eastAsia="Calibri"/>
          <w:bCs/>
          <w:iCs/>
          <w:sz w:val="20"/>
          <w:lang w:eastAsia="en-US"/>
        </w:rPr>
        <w:t xml:space="preserve"> </w:t>
      </w:r>
      <w:r w:rsidRPr="00D339EE">
        <w:rPr>
          <w:rFonts w:eastAsia="Calibri"/>
          <w:bCs/>
          <w:iCs/>
          <w:sz w:val="20"/>
          <w:lang w:eastAsia="en-US"/>
        </w:rPr>
        <w:t xml:space="preserve"> Les candidats intéressés peuvent consulter gratuitement le dossier d’Appel à la Concurrence complet</w:t>
      </w:r>
      <w:r>
        <w:rPr>
          <w:rFonts w:eastAsia="Calibri"/>
          <w:bCs/>
          <w:iCs/>
          <w:sz w:val="20"/>
          <w:lang w:eastAsia="en-US"/>
        </w:rPr>
        <w:t xml:space="preserve"> ou le retirer contre paiement </w:t>
      </w:r>
      <w:r w:rsidRPr="00D339EE">
        <w:rPr>
          <w:rFonts w:eastAsia="Calibri"/>
          <w:bCs/>
          <w:iCs/>
          <w:sz w:val="20"/>
          <w:lang w:eastAsia="en-US"/>
        </w:rPr>
        <w:t>d’une somme non remboursab</w:t>
      </w:r>
      <w:r>
        <w:rPr>
          <w:rFonts w:eastAsia="Calibri"/>
          <w:bCs/>
          <w:iCs/>
          <w:sz w:val="20"/>
          <w:lang w:eastAsia="en-US"/>
        </w:rPr>
        <w:t xml:space="preserve">le de </w:t>
      </w:r>
      <w:r w:rsidRPr="00472DB2">
        <w:rPr>
          <w:rFonts w:eastAsia="Calibri"/>
          <w:b/>
          <w:bCs/>
          <w:iCs/>
          <w:sz w:val="20"/>
          <w:lang w:eastAsia="en-US"/>
        </w:rPr>
        <w:t>Cinquante Mille</w:t>
      </w:r>
      <w:r w:rsidRPr="00D339EE">
        <w:rPr>
          <w:rFonts w:eastAsia="Calibri"/>
          <w:bCs/>
          <w:iCs/>
          <w:sz w:val="20"/>
          <w:lang w:eastAsia="en-US"/>
        </w:rPr>
        <w:t xml:space="preserve"> (</w:t>
      </w:r>
      <w:r>
        <w:rPr>
          <w:rFonts w:eastAsia="Calibri"/>
          <w:b/>
          <w:bCs/>
          <w:iCs/>
          <w:sz w:val="20"/>
          <w:lang w:eastAsia="en-US"/>
        </w:rPr>
        <w:t>5</w:t>
      </w:r>
      <w:r w:rsidRPr="002A0213">
        <w:rPr>
          <w:rFonts w:eastAsia="Calibri"/>
          <w:b/>
          <w:bCs/>
          <w:iCs/>
          <w:sz w:val="20"/>
          <w:lang w:eastAsia="en-US"/>
        </w:rPr>
        <w:t>0.000</w:t>
      </w:r>
      <w:r w:rsidRPr="00D339EE">
        <w:rPr>
          <w:rFonts w:eastAsia="Calibri"/>
          <w:bCs/>
          <w:iCs/>
          <w:sz w:val="20"/>
          <w:lang w:eastAsia="en-US"/>
        </w:rPr>
        <w:t xml:space="preserve">) </w:t>
      </w:r>
      <w:r w:rsidRPr="00472DB2">
        <w:rPr>
          <w:rFonts w:eastAsia="Calibri"/>
          <w:b/>
          <w:bCs/>
          <w:iCs/>
          <w:sz w:val="20"/>
          <w:lang w:eastAsia="en-US"/>
        </w:rPr>
        <w:t>F CFA</w:t>
      </w:r>
      <w:r w:rsidRPr="00D339EE">
        <w:rPr>
          <w:rFonts w:eastAsia="Calibri"/>
          <w:bCs/>
          <w:iCs/>
          <w:sz w:val="20"/>
          <w:lang w:eastAsia="en-US"/>
        </w:rPr>
        <w:t xml:space="preserve"> chez le régisseur de recette.</w:t>
      </w:r>
    </w:p>
    <w:p w14:paraId="04284D1A" w14:textId="77777777" w:rsidR="002E7BEC" w:rsidRPr="00D339EE" w:rsidRDefault="002E7BEC" w:rsidP="002E7BEC">
      <w:pPr>
        <w:jc w:val="both"/>
        <w:rPr>
          <w:rFonts w:eastAsia="Calibri"/>
          <w:bCs/>
          <w:iCs/>
          <w:sz w:val="20"/>
          <w:lang w:eastAsia="en-US"/>
        </w:rPr>
      </w:pPr>
      <w:r w:rsidRPr="0042723A">
        <w:rPr>
          <w:rFonts w:eastAsia="Calibri"/>
          <w:b/>
          <w:bCs/>
          <w:iCs/>
          <w:szCs w:val="24"/>
          <w:lang w:eastAsia="en-US"/>
        </w:rPr>
        <w:t>6</w:t>
      </w:r>
      <w:r w:rsidRPr="00D339EE">
        <w:rPr>
          <w:rFonts w:eastAsia="Calibri"/>
          <w:bCs/>
          <w:iCs/>
          <w:sz w:val="20"/>
          <w:lang w:eastAsia="en-US"/>
        </w:rPr>
        <w:t>. Les offres devront être soumises  ci-après au  C</w:t>
      </w:r>
      <w:r>
        <w:rPr>
          <w:rFonts w:eastAsia="Calibri"/>
          <w:bCs/>
          <w:iCs/>
          <w:sz w:val="20"/>
          <w:lang w:eastAsia="en-US"/>
        </w:rPr>
        <w:t xml:space="preserve">entre </w:t>
      </w:r>
      <w:r w:rsidRPr="00D339EE">
        <w:rPr>
          <w:rFonts w:eastAsia="Calibri"/>
          <w:bCs/>
          <w:iCs/>
          <w:sz w:val="20"/>
          <w:lang w:eastAsia="en-US"/>
        </w:rPr>
        <w:t>I</w:t>
      </w:r>
      <w:r>
        <w:rPr>
          <w:rFonts w:eastAsia="Calibri"/>
          <w:bCs/>
          <w:iCs/>
          <w:sz w:val="20"/>
          <w:lang w:eastAsia="en-US"/>
        </w:rPr>
        <w:t xml:space="preserve">nternational de  </w:t>
      </w:r>
      <w:r w:rsidRPr="00D339EE">
        <w:rPr>
          <w:rFonts w:eastAsia="Calibri"/>
          <w:bCs/>
          <w:iCs/>
          <w:sz w:val="20"/>
          <w:lang w:eastAsia="en-US"/>
        </w:rPr>
        <w:t>C</w:t>
      </w:r>
      <w:r>
        <w:rPr>
          <w:rFonts w:eastAsia="Calibri"/>
          <w:bCs/>
          <w:iCs/>
          <w:sz w:val="20"/>
          <w:lang w:eastAsia="en-US"/>
        </w:rPr>
        <w:t xml:space="preserve">onférence de </w:t>
      </w:r>
      <w:r w:rsidRPr="00D339EE">
        <w:rPr>
          <w:rFonts w:eastAsia="Calibri"/>
          <w:bCs/>
          <w:iCs/>
          <w:sz w:val="20"/>
          <w:lang w:eastAsia="en-US"/>
        </w:rPr>
        <w:t>B</w:t>
      </w:r>
      <w:r>
        <w:rPr>
          <w:rFonts w:eastAsia="Calibri"/>
          <w:bCs/>
          <w:iCs/>
          <w:sz w:val="20"/>
          <w:lang w:eastAsia="en-US"/>
        </w:rPr>
        <w:t xml:space="preserve">amako (C.I.C.B) au plus tard le </w:t>
      </w:r>
      <w:r w:rsidRPr="00472DB2">
        <w:rPr>
          <w:rFonts w:eastAsia="Calibri"/>
          <w:b/>
          <w:bCs/>
          <w:iCs/>
          <w:sz w:val="20"/>
          <w:lang w:eastAsia="en-US"/>
        </w:rPr>
        <w:t>05/03/2020 à 09h55mn</w:t>
      </w:r>
      <w:r w:rsidRPr="00D339EE">
        <w:rPr>
          <w:rFonts w:eastAsia="Calibri"/>
          <w:bCs/>
          <w:iCs/>
          <w:sz w:val="20"/>
          <w:lang w:eastAsia="en-US"/>
        </w:rPr>
        <w:t xml:space="preserve">. Les offres remises en retard ne seront pas acceptées. </w:t>
      </w:r>
    </w:p>
    <w:p w14:paraId="19228689" w14:textId="77777777" w:rsidR="002E7BEC" w:rsidRDefault="002E7BEC" w:rsidP="002E7BEC">
      <w:pPr>
        <w:tabs>
          <w:tab w:val="right" w:pos="7254"/>
        </w:tabs>
        <w:spacing w:after="200"/>
        <w:jc w:val="both"/>
        <w:rPr>
          <w:b/>
          <w:szCs w:val="24"/>
        </w:rPr>
      </w:pPr>
      <w:r w:rsidRPr="0042723A">
        <w:rPr>
          <w:rFonts w:eastAsia="Calibri"/>
          <w:b/>
          <w:bCs/>
          <w:iCs/>
          <w:szCs w:val="24"/>
          <w:lang w:eastAsia="en-US"/>
        </w:rPr>
        <w:t>7</w:t>
      </w:r>
      <w:r w:rsidRPr="00D339EE">
        <w:rPr>
          <w:rFonts w:eastAsia="Calibri"/>
          <w:bCs/>
          <w:iCs/>
          <w:sz w:val="20"/>
          <w:lang w:eastAsia="en-US"/>
        </w:rPr>
        <w:t>. Les offres doivent compre</w:t>
      </w:r>
      <w:r>
        <w:rPr>
          <w:rFonts w:eastAsia="Calibri"/>
          <w:bCs/>
          <w:iCs/>
          <w:sz w:val="20"/>
          <w:lang w:eastAsia="en-US"/>
        </w:rPr>
        <w:t>ndre une garantie de soumission  d’un montant de</w:t>
      </w:r>
      <w:r w:rsidRPr="00D339EE">
        <w:rPr>
          <w:rFonts w:eastAsia="Calibri"/>
          <w:bCs/>
          <w:iCs/>
          <w:sz w:val="20"/>
          <w:lang w:eastAsia="en-US"/>
        </w:rPr>
        <w:t xml:space="preserve"> </w:t>
      </w:r>
      <w:r>
        <w:rPr>
          <w:b/>
          <w:szCs w:val="24"/>
        </w:rPr>
        <w:t>Trois</w:t>
      </w:r>
      <w:r w:rsidRPr="00FF742D">
        <w:rPr>
          <w:b/>
          <w:szCs w:val="24"/>
        </w:rPr>
        <w:t xml:space="preserve"> </w:t>
      </w:r>
      <w:r>
        <w:rPr>
          <w:b/>
          <w:szCs w:val="24"/>
        </w:rPr>
        <w:t>M</w:t>
      </w:r>
      <w:r w:rsidRPr="00FF742D">
        <w:rPr>
          <w:b/>
          <w:szCs w:val="24"/>
        </w:rPr>
        <w:t xml:space="preserve">illions </w:t>
      </w:r>
      <w:r>
        <w:rPr>
          <w:b/>
          <w:szCs w:val="24"/>
        </w:rPr>
        <w:t>Cinq</w:t>
      </w:r>
      <w:r w:rsidRPr="00FF742D">
        <w:rPr>
          <w:b/>
          <w:szCs w:val="24"/>
        </w:rPr>
        <w:t xml:space="preserve"> </w:t>
      </w:r>
      <w:r>
        <w:rPr>
          <w:b/>
          <w:szCs w:val="24"/>
        </w:rPr>
        <w:t>C</w:t>
      </w:r>
      <w:r w:rsidRPr="00FF742D">
        <w:rPr>
          <w:b/>
          <w:szCs w:val="24"/>
        </w:rPr>
        <w:t xml:space="preserve">ent </w:t>
      </w:r>
      <w:r>
        <w:rPr>
          <w:b/>
          <w:szCs w:val="24"/>
        </w:rPr>
        <w:t>Mille (3 500</w:t>
      </w:r>
      <w:r w:rsidRPr="00FF742D">
        <w:rPr>
          <w:b/>
          <w:szCs w:val="24"/>
        </w:rPr>
        <w:t xml:space="preserve"> 000) F CFA</w:t>
      </w:r>
      <w:r>
        <w:rPr>
          <w:b/>
          <w:szCs w:val="24"/>
        </w:rPr>
        <w:t>.</w:t>
      </w:r>
      <w:r w:rsidRPr="00D339EE">
        <w:rPr>
          <w:rFonts w:eastAsia="Calibri"/>
          <w:bCs/>
          <w:iCs/>
          <w:sz w:val="20"/>
          <w:lang w:eastAsia="en-US"/>
        </w:rPr>
        <w:t xml:space="preserve"> </w:t>
      </w:r>
      <w:r>
        <w:rPr>
          <w:b/>
          <w:szCs w:val="24"/>
        </w:rPr>
        <w:t xml:space="preserve">                                                                   </w:t>
      </w:r>
    </w:p>
    <w:p w14:paraId="5C8FF010" w14:textId="2626DE16" w:rsidR="002E7BEC" w:rsidRPr="00EB7835" w:rsidRDefault="002E7BEC" w:rsidP="002E7BEC">
      <w:pPr>
        <w:tabs>
          <w:tab w:val="right" w:pos="7254"/>
        </w:tabs>
        <w:spacing w:after="200"/>
        <w:jc w:val="both"/>
        <w:rPr>
          <w:b/>
          <w:szCs w:val="24"/>
        </w:rPr>
      </w:pPr>
      <w:r w:rsidRPr="00EB7835">
        <w:rPr>
          <w:rFonts w:eastAsia="Calibri"/>
          <w:b/>
          <w:bCs/>
          <w:iCs/>
          <w:szCs w:val="24"/>
          <w:lang w:eastAsia="en-US"/>
        </w:rPr>
        <w:t>8</w:t>
      </w:r>
      <w:r>
        <w:rPr>
          <w:rFonts w:eastAsia="Calibri"/>
          <w:bCs/>
          <w:iCs/>
          <w:sz w:val="20"/>
          <w:lang w:eastAsia="en-US"/>
        </w:rPr>
        <w:t xml:space="preserve">. Les </w:t>
      </w:r>
      <w:r w:rsidRPr="00D339EE">
        <w:rPr>
          <w:rFonts w:eastAsia="Calibri"/>
          <w:bCs/>
          <w:iCs/>
          <w:sz w:val="20"/>
          <w:lang w:eastAsia="en-US"/>
        </w:rPr>
        <w:t xml:space="preserve">Soumissionnaires resteront engagés par leur offre pendant une période </w:t>
      </w:r>
      <w:r w:rsidR="00915F72" w:rsidRPr="00D339EE">
        <w:rPr>
          <w:rFonts w:eastAsia="Calibri"/>
          <w:bCs/>
          <w:iCs/>
          <w:sz w:val="20"/>
          <w:lang w:eastAsia="en-US"/>
        </w:rPr>
        <w:t xml:space="preserve">de </w:t>
      </w:r>
      <w:r w:rsidR="00915F72">
        <w:rPr>
          <w:rFonts w:eastAsia="Calibri"/>
          <w:b/>
          <w:bCs/>
          <w:iCs/>
          <w:sz w:val="20"/>
          <w:lang w:eastAsia="en-US"/>
        </w:rPr>
        <w:t>cent</w:t>
      </w:r>
      <w:r w:rsidR="00B65237">
        <w:rPr>
          <w:rFonts w:eastAsia="Calibri"/>
          <w:b/>
          <w:bCs/>
          <w:iCs/>
          <w:sz w:val="20"/>
          <w:lang w:eastAsia="en-US"/>
        </w:rPr>
        <w:t xml:space="preserve"> </w:t>
      </w:r>
      <w:r w:rsidRPr="003A3C4D">
        <w:rPr>
          <w:rFonts w:eastAsia="Calibri"/>
          <w:b/>
          <w:bCs/>
          <w:iCs/>
          <w:sz w:val="20"/>
          <w:lang w:eastAsia="en-US"/>
        </w:rPr>
        <w:t>vingt (</w:t>
      </w:r>
      <w:r w:rsidR="00B65237">
        <w:rPr>
          <w:rFonts w:eastAsia="Calibri"/>
          <w:b/>
          <w:bCs/>
          <w:iCs/>
          <w:sz w:val="20"/>
          <w:lang w:eastAsia="en-US"/>
        </w:rPr>
        <w:t>12</w:t>
      </w:r>
      <w:r w:rsidRPr="003A3C4D">
        <w:rPr>
          <w:rFonts w:eastAsia="Calibri"/>
          <w:b/>
          <w:bCs/>
          <w:iCs/>
          <w:sz w:val="20"/>
          <w:lang w:eastAsia="en-US"/>
        </w:rPr>
        <w:t>0)</w:t>
      </w:r>
      <w:r w:rsidRPr="00D339EE">
        <w:rPr>
          <w:rFonts w:eastAsia="Calibri"/>
          <w:bCs/>
          <w:iCs/>
          <w:sz w:val="20"/>
          <w:lang w:eastAsia="en-US"/>
        </w:rPr>
        <w:t xml:space="preserve"> jours à compter de la date limite du dépôt des offres.</w:t>
      </w:r>
    </w:p>
    <w:p w14:paraId="18F97BCB" w14:textId="12C972BA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  <w:r w:rsidRPr="0042723A">
        <w:rPr>
          <w:rFonts w:eastAsia="Calibri"/>
          <w:b/>
          <w:bCs/>
          <w:iCs/>
          <w:szCs w:val="24"/>
          <w:lang w:eastAsia="en-US"/>
        </w:rPr>
        <w:t>9</w:t>
      </w:r>
      <w:r w:rsidRPr="00D339EE">
        <w:rPr>
          <w:rFonts w:eastAsia="Calibri"/>
          <w:bCs/>
          <w:iCs/>
          <w:sz w:val="20"/>
          <w:lang w:eastAsia="en-US"/>
        </w:rPr>
        <w:t>. Les offres seront ouvertes en présence des représentants des soumissionnaires qui souhaitent assister à l’ouverture des plis</w:t>
      </w:r>
      <w:r>
        <w:rPr>
          <w:rFonts w:eastAsia="Calibri"/>
          <w:bCs/>
          <w:iCs/>
          <w:sz w:val="20"/>
          <w:lang w:eastAsia="en-US"/>
        </w:rPr>
        <w:t xml:space="preserve"> le</w:t>
      </w:r>
      <w:r w:rsidRPr="00D339EE">
        <w:rPr>
          <w:rFonts w:eastAsia="Calibri"/>
          <w:bCs/>
          <w:iCs/>
          <w:sz w:val="20"/>
          <w:lang w:eastAsia="en-US"/>
        </w:rPr>
        <w:t xml:space="preserve"> </w:t>
      </w:r>
      <w:r w:rsidR="00B65237">
        <w:rPr>
          <w:rFonts w:eastAsia="Calibri"/>
          <w:b/>
          <w:bCs/>
          <w:iCs/>
          <w:sz w:val="20"/>
          <w:lang w:eastAsia="en-US"/>
        </w:rPr>
        <w:t>10</w:t>
      </w:r>
      <w:r w:rsidRPr="00785E54">
        <w:rPr>
          <w:rFonts w:eastAsia="Calibri"/>
          <w:b/>
          <w:bCs/>
          <w:iCs/>
          <w:sz w:val="20"/>
          <w:lang w:eastAsia="en-US"/>
        </w:rPr>
        <w:t>/0</w:t>
      </w:r>
      <w:r w:rsidR="00B65237">
        <w:rPr>
          <w:rFonts w:eastAsia="Calibri"/>
          <w:b/>
          <w:bCs/>
          <w:iCs/>
          <w:sz w:val="20"/>
          <w:lang w:eastAsia="en-US"/>
        </w:rPr>
        <w:t>5</w:t>
      </w:r>
      <w:r w:rsidRPr="00785E54">
        <w:rPr>
          <w:rFonts w:eastAsia="Calibri"/>
          <w:b/>
          <w:bCs/>
          <w:iCs/>
          <w:sz w:val="20"/>
          <w:lang w:eastAsia="en-US"/>
        </w:rPr>
        <w:t>/2020 à 10</w:t>
      </w:r>
      <w:r w:rsidR="00B65237">
        <w:rPr>
          <w:rFonts w:eastAsia="Calibri"/>
          <w:b/>
          <w:bCs/>
          <w:iCs/>
          <w:sz w:val="20"/>
          <w:lang w:eastAsia="en-US"/>
        </w:rPr>
        <w:t xml:space="preserve"> </w:t>
      </w:r>
      <w:r w:rsidRPr="00785E54">
        <w:rPr>
          <w:rFonts w:eastAsia="Calibri"/>
          <w:b/>
          <w:bCs/>
          <w:iCs/>
          <w:sz w:val="20"/>
          <w:lang w:eastAsia="en-US"/>
        </w:rPr>
        <w:t>h 00 mn</w:t>
      </w:r>
      <w:r>
        <w:rPr>
          <w:rFonts w:eastAsia="Calibri"/>
          <w:bCs/>
          <w:iCs/>
          <w:sz w:val="20"/>
          <w:lang w:eastAsia="en-US"/>
        </w:rPr>
        <w:t xml:space="preserve"> </w:t>
      </w:r>
      <w:r w:rsidRPr="00D339EE">
        <w:rPr>
          <w:rFonts w:eastAsia="Calibri"/>
          <w:bCs/>
          <w:iCs/>
          <w:sz w:val="20"/>
          <w:lang w:eastAsia="en-US"/>
        </w:rPr>
        <w:t>dans la salle de réunion du Bâtiment B du CICB.</w:t>
      </w:r>
    </w:p>
    <w:p w14:paraId="360ED664" w14:textId="77777777" w:rsidR="002E7BEC" w:rsidRDefault="002E7BEC" w:rsidP="002E7BEC">
      <w:pPr>
        <w:rPr>
          <w:rFonts w:eastAsia="Calibri"/>
          <w:bCs/>
          <w:iCs/>
          <w:sz w:val="20"/>
          <w:lang w:eastAsia="en-US"/>
        </w:rPr>
      </w:pPr>
    </w:p>
    <w:p w14:paraId="72438448" w14:textId="77777777" w:rsidR="002E7BEC" w:rsidRPr="00D339EE" w:rsidRDefault="002E7BEC" w:rsidP="002E7BEC">
      <w:pPr>
        <w:rPr>
          <w:rFonts w:eastAsia="Calibri"/>
          <w:bCs/>
          <w:iCs/>
          <w:sz w:val="20"/>
          <w:lang w:eastAsia="en-US"/>
        </w:rPr>
      </w:pPr>
    </w:p>
    <w:p w14:paraId="2336A2B6" w14:textId="77777777" w:rsidR="002E7BEC" w:rsidRPr="00785E54" w:rsidRDefault="002E7BEC" w:rsidP="002E7BEC">
      <w:pPr>
        <w:jc w:val="center"/>
        <w:rPr>
          <w:rFonts w:eastAsia="Calibri"/>
          <w:b/>
          <w:bCs/>
          <w:iCs/>
          <w:sz w:val="20"/>
          <w:u w:val="single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 xml:space="preserve">                                                                                                            </w:t>
      </w:r>
      <w:r w:rsidRPr="00785E54">
        <w:rPr>
          <w:rFonts w:eastAsia="Calibri"/>
          <w:b/>
          <w:bCs/>
          <w:iCs/>
          <w:sz w:val="20"/>
          <w:u w:val="single"/>
          <w:lang w:eastAsia="en-US"/>
        </w:rPr>
        <w:t>Le Directeur Général</w:t>
      </w:r>
    </w:p>
    <w:p w14:paraId="020CF0F8" w14:textId="77777777" w:rsidR="002E7BEC" w:rsidRPr="00D339EE" w:rsidRDefault="002E7BEC" w:rsidP="002E7BEC">
      <w:pPr>
        <w:jc w:val="center"/>
        <w:rPr>
          <w:rFonts w:eastAsia="Calibri"/>
          <w:b/>
          <w:bCs/>
          <w:iCs/>
          <w:sz w:val="20"/>
          <w:lang w:eastAsia="en-US"/>
        </w:rPr>
      </w:pPr>
      <w:r w:rsidRPr="00D339EE">
        <w:rPr>
          <w:rFonts w:eastAsia="Calibri"/>
          <w:bCs/>
          <w:iCs/>
          <w:sz w:val="20"/>
          <w:lang w:eastAsia="en-US"/>
        </w:rPr>
        <w:t xml:space="preserve">                                                                                                            </w:t>
      </w:r>
      <w:r w:rsidRPr="00D339EE">
        <w:rPr>
          <w:rFonts w:eastAsia="Calibri"/>
          <w:b/>
          <w:bCs/>
          <w:iCs/>
          <w:sz w:val="20"/>
          <w:lang w:eastAsia="en-US"/>
        </w:rPr>
        <w:t>Sékou DISSA</w:t>
      </w:r>
    </w:p>
    <w:sectPr w:rsidR="002E7BEC" w:rsidRPr="00D3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26F3" w14:textId="77777777" w:rsidR="00B3058B" w:rsidRDefault="00B3058B" w:rsidP="00227573">
      <w:r>
        <w:separator/>
      </w:r>
    </w:p>
  </w:endnote>
  <w:endnote w:type="continuationSeparator" w:id="0">
    <w:p w14:paraId="530CE1C1" w14:textId="77777777" w:rsidR="00B3058B" w:rsidRDefault="00B3058B" w:rsidP="0022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E089" w14:textId="77777777" w:rsidR="00B3058B" w:rsidRDefault="00B3058B" w:rsidP="00227573">
      <w:r>
        <w:separator/>
      </w:r>
    </w:p>
  </w:footnote>
  <w:footnote w:type="continuationSeparator" w:id="0">
    <w:p w14:paraId="59EE8E9F" w14:textId="77777777" w:rsidR="00B3058B" w:rsidRDefault="00B3058B" w:rsidP="0022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BE1"/>
    <w:multiLevelType w:val="hybridMultilevel"/>
    <w:tmpl w:val="49E09EB0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9F0B79"/>
    <w:multiLevelType w:val="hybridMultilevel"/>
    <w:tmpl w:val="916EB2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3951"/>
    <w:multiLevelType w:val="hybridMultilevel"/>
    <w:tmpl w:val="FE5A53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1FA5"/>
    <w:multiLevelType w:val="hybridMultilevel"/>
    <w:tmpl w:val="7F369C6C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084815"/>
    <w:multiLevelType w:val="hybridMultilevel"/>
    <w:tmpl w:val="23524230"/>
    <w:lvl w:ilvl="0" w:tplc="F1BAE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06E"/>
    <w:rsid w:val="000441DC"/>
    <w:rsid w:val="00073287"/>
    <w:rsid w:val="00083BB9"/>
    <w:rsid w:val="000A4A54"/>
    <w:rsid w:val="000B0B9D"/>
    <w:rsid w:val="000B34C7"/>
    <w:rsid w:val="000D4BE9"/>
    <w:rsid w:val="000F3105"/>
    <w:rsid w:val="00114425"/>
    <w:rsid w:val="00115718"/>
    <w:rsid w:val="0012200B"/>
    <w:rsid w:val="001703BE"/>
    <w:rsid w:val="00171DEE"/>
    <w:rsid w:val="001804E2"/>
    <w:rsid w:val="00184242"/>
    <w:rsid w:val="00192DC6"/>
    <w:rsid w:val="001A7634"/>
    <w:rsid w:val="002006D6"/>
    <w:rsid w:val="00226071"/>
    <w:rsid w:val="00227573"/>
    <w:rsid w:val="00234F66"/>
    <w:rsid w:val="002A0213"/>
    <w:rsid w:val="002C53F6"/>
    <w:rsid w:val="002D36A9"/>
    <w:rsid w:val="002E27EB"/>
    <w:rsid w:val="002E6D33"/>
    <w:rsid w:val="002E7BEC"/>
    <w:rsid w:val="0031504F"/>
    <w:rsid w:val="003204B7"/>
    <w:rsid w:val="00330169"/>
    <w:rsid w:val="003313D2"/>
    <w:rsid w:val="0039160A"/>
    <w:rsid w:val="003A1222"/>
    <w:rsid w:val="003F0E18"/>
    <w:rsid w:val="003F25F3"/>
    <w:rsid w:val="003F606E"/>
    <w:rsid w:val="0040725C"/>
    <w:rsid w:val="004213B2"/>
    <w:rsid w:val="0042723A"/>
    <w:rsid w:val="00480219"/>
    <w:rsid w:val="00493CDE"/>
    <w:rsid w:val="004A3777"/>
    <w:rsid w:val="004B45A4"/>
    <w:rsid w:val="004B6348"/>
    <w:rsid w:val="004F7D77"/>
    <w:rsid w:val="005132E0"/>
    <w:rsid w:val="005637EF"/>
    <w:rsid w:val="006B28BD"/>
    <w:rsid w:val="006B6DA3"/>
    <w:rsid w:val="006C0D8A"/>
    <w:rsid w:val="006E1D71"/>
    <w:rsid w:val="00713CD9"/>
    <w:rsid w:val="007674DA"/>
    <w:rsid w:val="007D19F6"/>
    <w:rsid w:val="007D3F49"/>
    <w:rsid w:val="007F14B4"/>
    <w:rsid w:val="00837C34"/>
    <w:rsid w:val="00857EC9"/>
    <w:rsid w:val="00893C4F"/>
    <w:rsid w:val="008E4D34"/>
    <w:rsid w:val="00915F72"/>
    <w:rsid w:val="0093519C"/>
    <w:rsid w:val="00955617"/>
    <w:rsid w:val="00956DBB"/>
    <w:rsid w:val="009724FD"/>
    <w:rsid w:val="00987AA4"/>
    <w:rsid w:val="009A6AF9"/>
    <w:rsid w:val="009D44CB"/>
    <w:rsid w:val="00AB5E76"/>
    <w:rsid w:val="00AE52F7"/>
    <w:rsid w:val="00AF2246"/>
    <w:rsid w:val="00B3058B"/>
    <w:rsid w:val="00B43CD8"/>
    <w:rsid w:val="00B65237"/>
    <w:rsid w:val="00BB699B"/>
    <w:rsid w:val="00BC60B9"/>
    <w:rsid w:val="00BF69C0"/>
    <w:rsid w:val="00C249FC"/>
    <w:rsid w:val="00C51C48"/>
    <w:rsid w:val="00C919C1"/>
    <w:rsid w:val="00C925F8"/>
    <w:rsid w:val="00C952D0"/>
    <w:rsid w:val="00D129F7"/>
    <w:rsid w:val="00D339EE"/>
    <w:rsid w:val="00D4015B"/>
    <w:rsid w:val="00D41226"/>
    <w:rsid w:val="00DD4F5F"/>
    <w:rsid w:val="00DE4AAF"/>
    <w:rsid w:val="00DF18EF"/>
    <w:rsid w:val="00DF309D"/>
    <w:rsid w:val="00E16D5B"/>
    <w:rsid w:val="00E200CC"/>
    <w:rsid w:val="00E37D22"/>
    <w:rsid w:val="00E625D7"/>
    <w:rsid w:val="00E7350E"/>
    <w:rsid w:val="00E85D9A"/>
    <w:rsid w:val="00E85FDC"/>
    <w:rsid w:val="00ED2209"/>
    <w:rsid w:val="00F21E91"/>
    <w:rsid w:val="00F21FA7"/>
    <w:rsid w:val="00F31AFA"/>
    <w:rsid w:val="00F403DF"/>
    <w:rsid w:val="00F85E96"/>
    <w:rsid w:val="00F86D57"/>
    <w:rsid w:val="00F87647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C916"/>
  <w15:docId w15:val="{2DB2D337-76B9-4AFF-AFD2-F85C7457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rsid w:val="00227573"/>
    <w:pPr>
      <w:spacing w:after="240"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rsid w:val="00227573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7573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227573"/>
    <w:rPr>
      <w:rFonts w:cs="Times New Roman"/>
      <w:vertAlign w:val="superscript"/>
    </w:rPr>
  </w:style>
  <w:style w:type="paragraph" w:styleId="Paragraphedeliste">
    <w:name w:val="List Paragraph"/>
    <w:basedOn w:val="Normal"/>
    <w:qFormat/>
    <w:rsid w:val="002275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13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3B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13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3B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3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28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6D23-8803-45F5-A121-C43C5673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HP-COM</dc:creator>
  <cp:lastModifiedBy>HP USER</cp:lastModifiedBy>
  <cp:revision>31</cp:revision>
  <cp:lastPrinted>2021-04-21T13:11:00Z</cp:lastPrinted>
  <dcterms:created xsi:type="dcterms:W3CDTF">2020-05-13T11:11:00Z</dcterms:created>
  <dcterms:modified xsi:type="dcterms:W3CDTF">2021-04-21T13:11:00Z</dcterms:modified>
</cp:coreProperties>
</file>