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77777777" w:rsidR="008F02C6" w:rsidRDefault="008F02C6" w:rsidP="00EC4097">
      <w:pPr>
        <w:suppressAutoHyphens/>
        <w:jc w:val="center"/>
        <w:rPr>
          <w:b/>
          <w:sz w:val="32"/>
        </w:rPr>
      </w:pPr>
      <w:r>
        <w:rPr>
          <w:b/>
          <w:sz w:val="32"/>
        </w:rPr>
        <w:t>MINISTERE DE</w:t>
      </w:r>
      <w:r w:rsidR="002A3136">
        <w:rPr>
          <w:b/>
          <w:sz w:val="32"/>
        </w:rPr>
        <w:t xml:space="preserve"> L’ELEVAGE ET DE LA PECHE</w:t>
      </w:r>
    </w:p>
    <w:p w14:paraId="3E8837B9" w14:textId="77777777" w:rsidR="008F02C6" w:rsidRDefault="008F02C6" w:rsidP="00EC4097">
      <w:pPr>
        <w:suppressAutoHyphens/>
        <w:jc w:val="center"/>
        <w:rPr>
          <w:b/>
          <w:sz w:val="32"/>
        </w:rPr>
      </w:pPr>
    </w:p>
    <w:p w14:paraId="3E8837BA" w14:textId="573E498F" w:rsidR="00EC4097" w:rsidRPr="008A49BE" w:rsidRDefault="00EC4097" w:rsidP="00EC4097">
      <w:pPr>
        <w:suppressAutoHyphens/>
        <w:jc w:val="center"/>
        <w:rPr>
          <w:b/>
        </w:rPr>
      </w:pPr>
      <w:r w:rsidRPr="008A49BE">
        <w:rPr>
          <w:b/>
        </w:rPr>
        <w:t>PROJET D’A</w:t>
      </w:r>
      <w:r w:rsidR="002A3136">
        <w:rPr>
          <w:b/>
        </w:rPr>
        <w:t xml:space="preserve">PPUI AU </w:t>
      </w:r>
      <w:r w:rsidR="005A6FDD">
        <w:rPr>
          <w:b/>
        </w:rPr>
        <w:t>DEVELOPPEMENT DE L’ELEVAGE AU MALI</w:t>
      </w:r>
      <w:r w:rsidR="002A3136">
        <w:rPr>
          <w:b/>
        </w:rPr>
        <w:t xml:space="preserve"> (P</w:t>
      </w:r>
      <w:r w:rsidR="005A6FDD">
        <w:rPr>
          <w:b/>
        </w:rPr>
        <w:t>ADEL</w:t>
      </w:r>
      <w:r w:rsidR="002A3136">
        <w:rPr>
          <w:b/>
        </w:rPr>
        <w:t>-M)</w:t>
      </w:r>
    </w:p>
    <w:p w14:paraId="3E8837BB" w14:textId="77777777" w:rsidR="006D39E8" w:rsidRPr="008A49BE" w:rsidRDefault="006D39E8" w:rsidP="003A7703">
      <w:pPr>
        <w:suppressAutoHyphens/>
        <w:rPr>
          <w:b/>
        </w:rPr>
      </w:pPr>
    </w:p>
    <w:p w14:paraId="17D226E8" w14:textId="604AD533" w:rsidR="003055AB" w:rsidRDefault="00F154E0" w:rsidP="00C65698">
      <w:pPr>
        <w:pStyle w:val="Corpsdetexte"/>
        <w:jc w:val="center"/>
        <w:rPr>
          <w:rFonts w:ascii="Times New Roman" w:eastAsia="Calibri" w:hAnsi="Times New Roman"/>
          <w:b/>
          <w:bCs/>
          <w:szCs w:val="24"/>
          <w:lang w:val="fr-MC"/>
        </w:rPr>
      </w:pPr>
      <w:r w:rsidRPr="00F154E0">
        <w:rPr>
          <w:rFonts w:ascii="Times New Roman" w:eastAsia="Calibri" w:hAnsi="Times New Roman"/>
          <w:b/>
          <w:bCs/>
          <w:szCs w:val="24"/>
          <w:highlight w:val="lightGray"/>
          <w:lang w:val="fr-MC"/>
        </w:rPr>
        <w:t>RECRUTEMENT D’UN CONSULTANT POUR LA FORMATION DE 20 MENUISIERS EN TECHNIQUES DE CONFECTION</w:t>
      </w:r>
      <w:r w:rsidRPr="00F154E0">
        <w:rPr>
          <w:rFonts w:ascii="Times New Roman" w:eastAsia="Calibri" w:hAnsi="Times New Roman"/>
          <w:b/>
          <w:szCs w:val="24"/>
          <w:highlight w:val="lightGray"/>
          <w:lang w:val="fr-MC"/>
        </w:rPr>
        <w:t xml:space="preserve"> </w:t>
      </w:r>
      <w:r w:rsidRPr="00F154E0">
        <w:rPr>
          <w:rFonts w:ascii="Times New Roman" w:eastAsia="Calibri" w:hAnsi="Times New Roman"/>
          <w:b/>
          <w:bCs/>
          <w:szCs w:val="24"/>
          <w:highlight w:val="lightGray"/>
          <w:lang w:val="fr-MC"/>
        </w:rPr>
        <w:t>DE</w:t>
      </w:r>
      <w:r w:rsidRPr="00F154E0">
        <w:rPr>
          <w:rFonts w:ascii="Times New Roman" w:eastAsia="Calibri" w:hAnsi="Times New Roman"/>
          <w:b/>
          <w:szCs w:val="24"/>
          <w:highlight w:val="lightGray"/>
          <w:lang w:val="fr-MC"/>
        </w:rPr>
        <w:t xml:space="preserve"> </w:t>
      </w:r>
      <w:r w:rsidRPr="00F154E0">
        <w:rPr>
          <w:rFonts w:ascii="Times New Roman" w:eastAsia="Calibri" w:hAnsi="Times New Roman"/>
          <w:b/>
          <w:bCs/>
          <w:szCs w:val="24"/>
          <w:highlight w:val="lightGray"/>
          <w:lang w:val="fr-MC"/>
        </w:rPr>
        <w:t>BACS HORS SOL</w:t>
      </w:r>
    </w:p>
    <w:p w14:paraId="0188CF31" w14:textId="77777777" w:rsidR="00F154E0" w:rsidRPr="00C65698" w:rsidRDefault="00F154E0" w:rsidP="00C65698">
      <w:pPr>
        <w:pStyle w:val="Corpsdetexte"/>
        <w:jc w:val="center"/>
        <w:rPr>
          <w:rFonts w:ascii="Times New Roman" w:hAnsi="Times New Roman"/>
          <w:sz w:val="28"/>
          <w:szCs w:val="28"/>
          <w:lang w:val="fr-FR"/>
        </w:rPr>
      </w:pPr>
    </w:p>
    <w:p w14:paraId="163211B2" w14:textId="30CD8A7F" w:rsidR="00A12488" w:rsidRPr="00A12488" w:rsidRDefault="00A12488" w:rsidP="00A12488">
      <w:pPr>
        <w:tabs>
          <w:tab w:val="left" w:pos="720"/>
          <w:tab w:val="right" w:leader="dot" w:pos="8640"/>
        </w:tabs>
      </w:pPr>
      <w:r w:rsidRPr="00A12488">
        <w:rPr>
          <w:b/>
        </w:rPr>
        <w:t>N</w:t>
      </w:r>
      <w:r>
        <w:rPr>
          <w:b/>
        </w:rPr>
        <w:t>°</w:t>
      </w:r>
      <w:r w:rsidRPr="00A12488">
        <w:rPr>
          <w:b/>
        </w:rPr>
        <w:t xml:space="preserve"> d</w:t>
      </w:r>
      <w:r>
        <w:rPr>
          <w:b/>
        </w:rPr>
        <w:t>e</w:t>
      </w:r>
      <w:r w:rsidRPr="00A12488">
        <w:rPr>
          <w:b/>
        </w:rPr>
        <w:t xml:space="preserve"> Crédit : 6188-ML</w:t>
      </w:r>
    </w:p>
    <w:p w14:paraId="19DDA3EC" w14:textId="53196ECA" w:rsidR="00A12488" w:rsidRPr="00A12488" w:rsidRDefault="00A12488" w:rsidP="00A12488">
      <w:pPr>
        <w:tabs>
          <w:tab w:val="left" w:pos="720"/>
          <w:tab w:val="right" w:leader="dot" w:pos="8640"/>
        </w:tabs>
        <w:rPr>
          <w:b/>
        </w:rPr>
      </w:pPr>
      <w:r w:rsidRPr="00A12488">
        <w:rPr>
          <w:b/>
        </w:rPr>
        <w:t>N</w:t>
      </w:r>
      <w:r>
        <w:rPr>
          <w:b/>
        </w:rPr>
        <w:t>°</w:t>
      </w:r>
      <w:r w:rsidRPr="00A12488">
        <w:rPr>
          <w:b/>
        </w:rPr>
        <w:t xml:space="preserve"> d</w:t>
      </w:r>
      <w:r>
        <w:rPr>
          <w:b/>
        </w:rPr>
        <w:t xml:space="preserve">e </w:t>
      </w:r>
      <w:r w:rsidRPr="00A12488">
        <w:rPr>
          <w:b/>
        </w:rPr>
        <w:t>Don : D2740-ML</w:t>
      </w:r>
    </w:p>
    <w:p w14:paraId="6D730015" w14:textId="77777777" w:rsidR="00977BD7" w:rsidRPr="00977BD7" w:rsidRDefault="00977BD7" w:rsidP="00EC4097">
      <w:pPr>
        <w:suppressAutoHyphens/>
        <w:jc w:val="center"/>
        <w:rPr>
          <w:b/>
          <w:sz w:val="28"/>
          <w:szCs w:val="28"/>
        </w:rPr>
      </w:pPr>
    </w:p>
    <w:p w14:paraId="3E8837BE" w14:textId="7F1AE19C"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F154E0" w:rsidRPr="00F154E0">
        <w:rPr>
          <w:b/>
        </w:rPr>
        <w:t>ML-PADEL - M-159462-CS-INDV</w:t>
      </w:r>
    </w:p>
    <w:p w14:paraId="3E8837BF" w14:textId="77777777" w:rsidR="00CF1A8A" w:rsidRPr="003A7703" w:rsidRDefault="00CF1A8A" w:rsidP="00CF1A8A">
      <w:pPr>
        <w:rPr>
          <w:rFonts w:ascii="Arial Narrow" w:hAnsi="Arial Narrow"/>
          <w:b/>
          <w:bCs/>
          <w:sz w:val="22"/>
          <w:szCs w:val="22"/>
        </w:rPr>
      </w:pPr>
    </w:p>
    <w:p w14:paraId="3E8837C0" w14:textId="5C3BFBB6" w:rsidR="00C6482E" w:rsidRPr="007211CE" w:rsidRDefault="0028291E" w:rsidP="00846E99">
      <w:pPr>
        <w:jc w:val="both"/>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du </w:t>
      </w:r>
      <w:r w:rsidR="00F154E0">
        <w:rPr>
          <w:rFonts w:eastAsia="Calibri"/>
          <w:b/>
          <w:bCs/>
          <w:lang w:val="fr-MC"/>
        </w:rPr>
        <w:t>R</w:t>
      </w:r>
      <w:r w:rsidR="00F154E0" w:rsidRPr="00974476">
        <w:rPr>
          <w:rFonts w:eastAsia="Calibri"/>
          <w:b/>
          <w:bCs/>
          <w:lang w:val="fr-MC"/>
        </w:rPr>
        <w:t>ecrutement d’un consultant pour la formation de 20 menuisiers en techniques de confection</w:t>
      </w:r>
      <w:r w:rsidR="00F154E0" w:rsidRPr="00974476">
        <w:rPr>
          <w:rFonts w:eastAsia="Calibri"/>
          <w:b/>
          <w:lang w:val="fr-MC"/>
        </w:rPr>
        <w:t xml:space="preserve"> </w:t>
      </w:r>
      <w:r w:rsidR="00F154E0" w:rsidRPr="00974476">
        <w:rPr>
          <w:rFonts w:eastAsia="Calibri"/>
          <w:b/>
          <w:bCs/>
          <w:lang w:val="fr-MC"/>
        </w:rPr>
        <w:t>de</w:t>
      </w:r>
      <w:r w:rsidR="00F154E0" w:rsidRPr="00974476">
        <w:rPr>
          <w:rFonts w:eastAsia="Calibri"/>
          <w:b/>
          <w:lang w:val="fr-MC"/>
        </w:rPr>
        <w:t xml:space="preserve"> </w:t>
      </w:r>
      <w:r w:rsidR="00F154E0" w:rsidRPr="00974476">
        <w:rPr>
          <w:rFonts w:eastAsia="Calibri"/>
          <w:b/>
          <w:bCs/>
          <w:lang w:val="fr-MC"/>
        </w:rPr>
        <w:t>bacs hors sol</w:t>
      </w:r>
      <w:r w:rsidR="003A7703" w:rsidRPr="007211CE">
        <w:rPr>
          <w:b/>
        </w:rPr>
        <w:t>.</w:t>
      </w:r>
    </w:p>
    <w:p w14:paraId="3E8837C1" w14:textId="7674DBF7" w:rsidR="00D16B6D" w:rsidRDefault="00D16B6D" w:rsidP="00846E99">
      <w:pPr>
        <w:ind w:right="22"/>
        <w:jc w:val="both"/>
      </w:pPr>
    </w:p>
    <w:p w14:paraId="409223D6" w14:textId="77777777" w:rsidR="000A6232" w:rsidRDefault="00405EE1"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r>
        <w:t>2</w:t>
      </w:r>
      <w:r w:rsidRPr="00603BF4">
        <w:t xml:space="preserve">. </w:t>
      </w:r>
      <w:r w:rsidR="007122B4">
        <w:t xml:space="preserve">   </w:t>
      </w:r>
      <w:r w:rsidR="000A6232" w:rsidRPr="00E70EBB">
        <w:rPr>
          <w:rFonts w:eastAsia="Calibri"/>
        </w:rPr>
        <w:t>Le Projet d’Appui au Développement de l’Elevage au Mali (PADEL-M) a été préparé au cours de l’année 2017 et a été approuvé par le Conseil d’Administration de la Banque Mondiale</w:t>
      </w:r>
      <w:r w:rsidR="000A6232">
        <w:rPr>
          <w:rFonts w:eastAsia="Calibri"/>
        </w:rPr>
        <w:t>,</w:t>
      </w:r>
      <w:r w:rsidR="000A6232" w:rsidRPr="00E70EBB">
        <w:rPr>
          <w:rFonts w:eastAsia="Calibri"/>
        </w:rPr>
        <w:t xml:space="preserve"> le 28 février 2018. Sa mise en vigueur a été déclarée</w:t>
      </w:r>
      <w:r w:rsidR="000A6232">
        <w:rPr>
          <w:rFonts w:eastAsia="Calibri"/>
        </w:rPr>
        <w:t>,</w:t>
      </w:r>
      <w:r w:rsidR="000A6232" w:rsidRPr="00E70EBB">
        <w:rPr>
          <w:rFonts w:eastAsia="Calibri"/>
        </w:rPr>
        <w:t xml:space="preserve"> le 23 août 2018 et sa mise en œuvre se déroulera sur une période de six ans (2018-2024). Ce projet a vocation à intervenir sur l’ensemble du territoire national et les systèmes d’élevage ciblés sont complémentaires de ceux que soutient le PRAPS-Mali, orienté exclusivement sur le pastoralisme. Ses bénéficiaires directs </w:t>
      </w:r>
      <w:r w:rsidR="000A6232">
        <w:rPr>
          <w:rFonts w:eastAsia="Calibri"/>
        </w:rPr>
        <w:t>s</w:t>
      </w:r>
      <w:r w:rsidR="000A6232" w:rsidRPr="00E70EBB">
        <w:rPr>
          <w:rFonts w:eastAsia="Calibri"/>
        </w:rPr>
        <w:t>ont estimés à 340.000 ménages d’éleveurs et entrepreneurs (éleveurs et aquaculteurs intégrant le marché dans leurs objectifs de production, producteurs d’aliments, transformateurs et commerçants) des filières d’é</w:t>
      </w:r>
      <w:r w:rsidR="000A6232">
        <w:rPr>
          <w:rFonts w:eastAsia="Calibri"/>
        </w:rPr>
        <w:t>levage ciblées (bétail/viande, l</w:t>
      </w:r>
      <w:r w:rsidR="000A6232" w:rsidRPr="00E70EBB">
        <w:rPr>
          <w:rFonts w:eastAsia="Calibri"/>
        </w:rPr>
        <w:t>ait</w:t>
      </w:r>
      <w:r w:rsidR="000A6232">
        <w:rPr>
          <w:rFonts w:eastAsia="Calibri"/>
        </w:rPr>
        <w:t>, aviculture (chair et œufs) et a</w:t>
      </w:r>
      <w:r w:rsidR="000A6232" w:rsidRPr="00E70EBB">
        <w:rPr>
          <w:rFonts w:eastAsia="Calibri"/>
        </w:rPr>
        <w:t xml:space="preserve">quaculture), en plus des institutions publiques, privées et communautaires des sous-secteurs de l’élevage et de la pêche au Mali. </w:t>
      </w:r>
    </w:p>
    <w:p w14:paraId="4175AD4C" w14:textId="77777777" w:rsidR="000A6232" w:rsidRPr="00E70EBB" w:rsidRDefault="000A6232"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p>
    <w:p w14:paraId="5A860D4E" w14:textId="77777777" w:rsidR="000A6232" w:rsidRDefault="000A6232"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r w:rsidRPr="00E70EBB">
        <w:rPr>
          <w:rFonts w:eastAsia="Calibri"/>
        </w:rPr>
        <w:t>L'objectif de développement du projet (ODP) est de</w:t>
      </w:r>
      <w:r>
        <w:rPr>
          <w:rFonts w:eastAsia="Calibri"/>
        </w:rPr>
        <w:t xml:space="preserve"> </w:t>
      </w:r>
      <w:r w:rsidRPr="00E70EBB">
        <w:rPr>
          <w:rFonts w:eastAsia="Calibri"/>
        </w:rPr>
        <w:t>«</w:t>
      </w:r>
      <w:r>
        <w:rPr>
          <w:rFonts w:eastAsia="Calibri"/>
        </w:rPr>
        <w:t xml:space="preserve"> R</w:t>
      </w:r>
      <w:r w:rsidRPr="00E70EBB">
        <w:rPr>
          <w:rFonts w:eastAsia="Calibri"/>
        </w:rPr>
        <w:t>enforcer la productivité et la commercialisation des produits d’origine animale issus de systèmes non pastoraux dans les filières sélectionnées, et la capacité du pays à répondre aux crises ou urgences éligibles</w:t>
      </w:r>
      <w:r>
        <w:rPr>
          <w:rFonts w:eastAsia="Calibri"/>
        </w:rPr>
        <w:t xml:space="preserve"> </w:t>
      </w:r>
      <w:r w:rsidRPr="00E70EBB">
        <w:rPr>
          <w:rFonts w:eastAsia="Calibri"/>
        </w:rPr>
        <w:t>»</w:t>
      </w:r>
      <w:r>
        <w:rPr>
          <w:rFonts w:eastAsia="Calibri"/>
        </w:rPr>
        <w:t>.</w:t>
      </w:r>
      <w:r w:rsidRPr="00E70EBB">
        <w:rPr>
          <w:rFonts w:eastAsia="Calibri"/>
        </w:rPr>
        <w:t xml:space="preserve"> Cet objectif est en harmonie avec la vision du gouvernement en matière de développement agricole, à savoir promouvoir « une agriculture durable, moderne et compétitive, reposant prioritairement sur des exploitations agricoles familiales reconnues et sécurisées, par la maximisation du potentiel agro écologique et du savoir-faire du pays en matière agricole, et la création d'un environnement favorable au développement d'un secteur agricole structuré (...) de manière à assurer la souveraineté alimentaire et à faire de l'agriculture le moteur de l'économie nationale en vue de garantir le bien-être de la population.» L’ODP énonce explicitement la complémentarité avec le projet PRAPS-ML (consacré au pastoralisme) en précisant que le présent projet ne cible que les systèmes d’élevage non pastoraux.</w:t>
      </w:r>
    </w:p>
    <w:p w14:paraId="63B95B3A" w14:textId="77777777" w:rsidR="000A6232" w:rsidRPr="00E70EBB" w:rsidRDefault="000A6232"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p>
    <w:p w14:paraId="58ED9D81" w14:textId="77777777" w:rsidR="000A6232" w:rsidRPr="00E70EBB" w:rsidRDefault="000A6232"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r w:rsidRPr="00E70EBB">
        <w:rPr>
          <w:rFonts w:eastAsia="Calibri"/>
        </w:rPr>
        <w:t>Le projet couvr</w:t>
      </w:r>
      <w:r>
        <w:rPr>
          <w:rFonts w:eastAsia="Calibri"/>
        </w:rPr>
        <w:t>e</w:t>
      </w:r>
      <w:r w:rsidRPr="00E70EBB">
        <w:rPr>
          <w:rFonts w:eastAsia="Calibri"/>
        </w:rPr>
        <w:t xml:space="preserve"> l’ensemble du pays</w:t>
      </w:r>
      <w:r>
        <w:rPr>
          <w:rFonts w:eastAsia="Calibri"/>
        </w:rPr>
        <w:t xml:space="preserve"> et</w:t>
      </w:r>
      <w:r w:rsidRPr="00E70EBB">
        <w:rPr>
          <w:rFonts w:eastAsia="Calibri"/>
        </w:rPr>
        <w:t xml:space="preserve"> se concentre</w:t>
      </w:r>
      <w:r>
        <w:rPr>
          <w:rFonts w:eastAsia="Calibri"/>
        </w:rPr>
        <w:t xml:space="preserve"> </w:t>
      </w:r>
      <w:r w:rsidRPr="00E70EBB">
        <w:rPr>
          <w:rFonts w:eastAsia="Calibri"/>
        </w:rPr>
        <w:t xml:space="preserve">sur les systèmes d’élevage sédentaire qui ne sont pas pris en compte par le projet PRAPS-ML. Dans toutes les régions, l’accent </w:t>
      </w:r>
      <w:r>
        <w:rPr>
          <w:rFonts w:eastAsia="Calibri"/>
        </w:rPr>
        <w:t>est</w:t>
      </w:r>
      <w:r w:rsidRPr="00E70EBB">
        <w:rPr>
          <w:rFonts w:eastAsia="Calibri"/>
        </w:rPr>
        <w:t xml:space="preserve"> également mis sur les zones péri-urbaines afin de stimuler les systèmes de production animale semi-intensive et les systèmes de transformation, selon les besoins. </w:t>
      </w:r>
    </w:p>
    <w:p w14:paraId="7CC7B317" w14:textId="4CD91F49" w:rsidR="00115931" w:rsidRPr="009D6CA1" w:rsidRDefault="00115931" w:rsidP="000A6232">
      <w:pPr>
        <w:spacing w:after="120"/>
        <w:ind w:left="-227" w:right="-397"/>
        <w:jc w:val="both"/>
      </w:pPr>
    </w:p>
    <w:p w14:paraId="142E7A63" w14:textId="77777777" w:rsidR="00115931" w:rsidRDefault="00115931" w:rsidP="00115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141"/>
        <w:jc w:val="both"/>
      </w:pPr>
      <w:r w:rsidRPr="009D6CA1">
        <w:t>Cet objectif est décliné en trois composantes qui sont :</w:t>
      </w:r>
    </w:p>
    <w:p w14:paraId="5619D359" w14:textId="77777777" w:rsidR="00115931" w:rsidRPr="009D6CA1" w:rsidRDefault="00115931" w:rsidP="00115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141"/>
        <w:jc w:val="both"/>
      </w:pPr>
    </w:p>
    <w:p w14:paraId="37CDDDB1" w14:textId="77777777" w:rsidR="00115931" w:rsidRPr="009D6CA1" w:rsidRDefault="00115931" w:rsidP="00115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141"/>
        <w:jc w:val="both"/>
      </w:pPr>
      <w:r w:rsidRPr="009D6CA1">
        <w:rPr>
          <w:b/>
        </w:rPr>
        <w:t>Composante 1 :</w:t>
      </w:r>
      <w:r w:rsidRPr="009D6CA1">
        <w:t xml:space="preserve"> Renforcement des services d’élevage avec comme sous-composantes : i) santé animale et santé publique vétérinaire ; ii) hausse de la productivité ; iii) élaboration des politiques et cadre réglementaire ;  </w:t>
      </w:r>
    </w:p>
    <w:p w14:paraId="6FBE9967" w14:textId="77777777" w:rsidR="00115931" w:rsidRPr="009D6CA1" w:rsidRDefault="00115931" w:rsidP="00115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141"/>
        <w:jc w:val="both"/>
      </w:pPr>
      <w:r w:rsidRPr="009D6CA1">
        <w:rPr>
          <w:b/>
        </w:rPr>
        <w:t>Composante 2 :</w:t>
      </w:r>
      <w:r w:rsidRPr="009D6CA1">
        <w:t xml:space="preserve"> Soutien à l’investissement privé avec comme sous-composantes : i) organisation économique et mécanisme d'incitation ; ii) appui au cycle d’investissement ; iii) financement des investissements privés ; </w:t>
      </w:r>
    </w:p>
    <w:p w14:paraId="7E0FF6E8" w14:textId="77777777" w:rsidR="00115931" w:rsidRPr="009D6CA1" w:rsidRDefault="00115931" w:rsidP="00115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141"/>
        <w:jc w:val="both"/>
      </w:pPr>
      <w:r w:rsidRPr="009D6CA1">
        <w:rPr>
          <w:b/>
        </w:rPr>
        <w:t>Composante 3 :</w:t>
      </w:r>
      <w:r w:rsidRPr="009D6CA1">
        <w:t xml:space="preserve"> Prévention et gestion des crises et coordination du projet avec comme sous-composantes : i) prévention et gestion des crises ; ii) appui institutionnel et coordination du projet.</w:t>
      </w:r>
    </w:p>
    <w:p w14:paraId="52DA8429" w14:textId="77777777" w:rsidR="000A6232" w:rsidRDefault="000A6232"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p>
    <w:p w14:paraId="2790B35B" w14:textId="77777777" w:rsidR="000A6232" w:rsidRPr="00E70EBB" w:rsidRDefault="000A6232"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r w:rsidRPr="00E70EBB">
        <w:rPr>
          <w:rFonts w:eastAsia="Calibri"/>
        </w:rPr>
        <w:t>Le PADEL-M est placé sous la tutelle du Ministre de l’Elevage et de la Pêche. La structure de gouvernance du PADEL-M est calquée sur celle</w:t>
      </w:r>
      <w:r>
        <w:rPr>
          <w:rFonts w:eastAsia="Calibri"/>
        </w:rPr>
        <w:t xml:space="preserve"> du PRAPS-Mali, et comprend un Comité de Pilotage et un Comité T</w:t>
      </w:r>
      <w:r w:rsidRPr="00E70EBB">
        <w:rPr>
          <w:rFonts w:eastAsia="Calibri"/>
        </w:rPr>
        <w:t xml:space="preserve">echnique qui se réunissent à intervalles réguliers et constitués de tous les membres représentatifs compétents. </w:t>
      </w:r>
    </w:p>
    <w:p w14:paraId="753D7C67" w14:textId="77777777" w:rsidR="000A6232" w:rsidRDefault="000A6232" w:rsidP="000A62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rPr>
      </w:pPr>
      <w:r w:rsidRPr="00E70EBB">
        <w:rPr>
          <w:rFonts w:eastAsia="Calibri"/>
        </w:rPr>
        <w:t>Les projets PRAPS-ML et PADEL-M se partagent la même Unité de Coordination (UCP) et le même Comité d’Orientation et de Pilotage (COP).</w:t>
      </w:r>
    </w:p>
    <w:p w14:paraId="4580111A" w14:textId="77777777" w:rsidR="00115931" w:rsidRDefault="00115931" w:rsidP="00115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141"/>
        <w:jc w:val="both"/>
      </w:pPr>
    </w:p>
    <w:p w14:paraId="6F90EE7A" w14:textId="77777777" w:rsidR="00F154E0" w:rsidRPr="002A3703" w:rsidRDefault="00F154E0" w:rsidP="00F154E0">
      <w:pPr>
        <w:jc w:val="both"/>
        <w:rPr>
          <w:rFonts w:eastAsia="Calibri"/>
          <w:lang w:val="fr-MC"/>
        </w:rPr>
      </w:pPr>
      <w:r w:rsidRPr="002A3703">
        <w:rPr>
          <w:rFonts w:eastAsia="Calibri"/>
          <w:lang w:val="fr-MC"/>
        </w:rPr>
        <w:t xml:space="preserve">Depuis le démarrage de ses activités, le PADEL-Mali accompagne les producteurs de poissons au travers des champ-écoles fonctionnels sur l’ensemble de la zone d’intervention du projet. La production aquacole se fait en cages, en étangs, bassins et en bac hors sol. Ce dernier offre beaucoup d’avantages au nombre desquels on peut citer : i) peu exigeant en superficie ; ii) peut être déplacé ; iii) garanti une bonne production avec peu de coût, iv) coût moindre et moins exigeant en termes de surface pour des unités de démonstration. </w:t>
      </w:r>
    </w:p>
    <w:p w14:paraId="2619A679" w14:textId="77777777" w:rsidR="00F154E0" w:rsidRPr="002A3703" w:rsidRDefault="00F154E0" w:rsidP="00F154E0">
      <w:pPr>
        <w:jc w:val="both"/>
        <w:rPr>
          <w:rFonts w:eastAsia="Calibri"/>
          <w:lang w:val="fr-MC"/>
        </w:rPr>
      </w:pPr>
      <w:r w:rsidRPr="002A3703">
        <w:rPr>
          <w:rFonts w:eastAsia="Calibri"/>
          <w:lang w:val="fr-MC"/>
        </w:rPr>
        <w:t>Ces avantages favorisent son utilisation par un nombre élevé de producteurs. La confection de bacs hors sol est peu maîtrisée par les menuisiers locaux et leur formation permet de rendre l’outil plus accessible, plus facile et moins contraignant, ce qui milite en faveur de son adoption par les couches les plus vulnérables, en particulier les jeunes et femmes.</w:t>
      </w:r>
    </w:p>
    <w:p w14:paraId="63ECE3F5" w14:textId="77777777" w:rsidR="007122B4" w:rsidRPr="00FE5614" w:rsidRDefault="007122B4" w:rsidP="007122B4">
      <w:pPr>
        <w:ind w:right="22"/>
        <w:jc w:val="both"/>
      </w:pPr>
    </w:p>
    <w:p w14:paraId="2BCAE168" w14:textId="7193F8BA" w:rsidR="007211CE" w:rsidRPr="00846E99" w:rsidRDefault="00603BF4" w:rsidP="00846E99">
      <w:pPr>
        <w:ind w:right="22"/>
        <w:jc w:val="both"/>
      </w:pPr>
      <w:r w:rsidRPr="00FE5614">
        <w:t>3</w:t>
      </w:r>
      <w:r w:rsidR="00D16B6D" w:rsidRPr="00846E99">
        <w:t xml:space="preserve">. </w:t>
      </w:r>
      <w:r w:rsidR="00846E99" w:rsidRPr="00846E99">
        <w:t xml:space="preserve"> </w:t>
      </w:r>
      <w:r w:rsidR="007211CE" w:rsidRPr="00846E99">
        <w:t>Les services de consultant (« Services ») comprennent :</w:t>
      </w:r>
    </w:p>
    <w:p w14:paraId="4E8917A3" w14:textId="77777777" w:rsidR="00F154E0" w:rsidRPr="002A3703" w:rsidRDefault="00F154E0" w:rsidP="00F154E0">
      <w:pPr>
        <w:numPr>
          <w:ilvl w:val="0"/>
          <w:numId w:val="41"/>
        </w:numPr>
        <w:ind w:left="714" w:hanging="357"/>
        <w:jc w:val="both"/>
        <w:rPr>
          <w:lang w:val="x-none"/>
        </w:rPr>
      </w:pPr>
      <w:r w:rsidRPr="002A3703">
        <w:t xml:space="preserve">proposer un module de formation comprenant une connaissance générale sur la fabrication des bacs hors sol ;  </w:t>
      </w:r>
    </w:p>
    <w:p w14:paraId="7C5CB442" w14:textId="77777777" w:rsidR="00F154E0" w:rsidRPr="002A3703" w:rsidRDefault="00F154E0" w:rsidP="00F154E0">
      <w:pPr>
        <w:numPr>
          <w:ilvl w:val="0"/>
          <w:numId w:val="41"/>
        </w:numPr>
        <w:ind w:left="714" w:hanging="357"/>
        <w:jc w:val="both"/>
        <w:rPr>
          <w:lang w:val="x-none"/>
        </w:rPr>
      </w:pPr>
      <w:r w:rsidRPr="002A3703">
        <w:t>dispenser une formation pratique en techniques de fabrication des bacs hors sol ;</w:t>
      </w:r>
    </w:p>
    <w:p w14:paraId="0B7C4556" w14:textId="77777777" w:rsidR="00F154E0" w:rsidRPr="002A3703" w:rsidRDefault="00F154E0" w:rsidP="00F154E0">
      <w:pPr>
        <w:numPr>
          <w:ilvl w:val="0"/>
          <w:numId w:val="41"/>
        </w:numPr>
        <w:ind w:left="714" w:hanging="357"/>
        <w:jc w:val="both"/>
        <w:rPr>
          <w:lang w:val="x-none"/>
        </w:rPr>
      </w:pPr>
      <w:r w:rsidRPr="002A3703">
        <w:t>faire fabriquer au moins un bac par participant ou groupe de participants.</w:t>
      </w:r>
    </w:p>
    <w:p w14:paraId="397CA35F" w14:textId="77777777" w:rsidR="00F154E0" w:rsidRPr="002A3703" w:rsidRDefault="00F154E0" w:rsidP="00F154E0">
      <w:pPr>
        <w:ind w:left="714"/>
        <w:jc w:val="both"/>
        <w:rPr>
          <w:lang w:val="x-none"/>
        </w:rPr>
      </w:pPr>
    </w:p>
    <w:p w14:paraId="7D945703" w14:textId="77777777" w:rsidR="00F154E0" w:rsidRPr="002A3703" w:rsidRDefault="00F154E0" w:rsidP="00F154E0">
      <w:pPr>
        <w:rPr>
          <w:lang w:val="x-none"/>
        </w:rPr>
      </w:pPr>
      <w:r w:rsidRPr="002A3703">
        <w:rPr>
          <w:bCs/>
          <w:lang w:val="x-none"/>
        </w:rPr>
        <w:t xml:space="preserve">Il travaillera </w:t>
      </w:r>
      <w:r w:rsidRPr="002A3703">
        <w:rPr>
          <w:bCs/>
        </w:rPr>
        <w:t>en étroite collaboration</w:t>
      </w:r>
      <w:r w:rsidRPr="002A3703">
        <w:rPr>
          <w:bCs/>
          <w:lang w:val="x-none"/>
        </w:rPr>
        <w:t xml:space="preserve"> avec l’expert </w:t>
      </w:r>
      <w:r w:rsidRPr="002A3703">
        <w:rPr>
          <w:bCs/>
        </w:rPr>
        <w:t xml:space="preserve">en </w:t>
      </w:r>
      <w:r w:rsidRPr="002A3703">
        <w:rPr>
          <w:bCs/>
          <w:lang w:val="x-none"/>
        </w:rPr>
        <w:t xml:space="preserve">charge </w:t>
      </w:r>
      <w:r w:rsidRPr="002A3703">
        <w:rPr>
          <w:bCs/>
        </w:rPr>
        <w:t>de l’aquaculture.</w:t>
      </w:r>
      <w:r w:rsidRPr="002A3703">
        <w:rPr>
          <w:lang w:val="x-none"/>
        </w:rPr>
        <w:t xml:space="preserve"> </w:t>
      </w:r>
    </w:p>
    <w:p w14:paraId="1C0FAF77" w14:textId="230674B6" w:rsidR="00F64C87" w:rsidRDefault="00B64143" w:rsidP="00A10016">
      <w:pPr>
        <w:spacing w:before="120" w:after="120"/>
        <w:jc w:val="both"/>
        <w:rPr>
          <w:lang w:val="fr-ML"/>
        </w:rPr>
      </w:pPr>
      <w:r w:rsidRPr="008A62A1">
        <w:rPr>
          <w:lang w:val="fr-ML"/>
        </w:rPr>
        <w:t xml:space="preserve">La durée de la consultation sera de </w:t>
      </w:r>
      <w:r w:rsidR="00F154E0">
        <w:t>quinze</w:t>
      </w:r>
      <w:r w:rsidR="000A6232" w:rsidRPr="00E70EBB">
        <w:t xml:space="preserve"> (</w:t>
      </w:r>
      <w:r w:rsidR="00F154E0">
        <w:t>15</w:t>
      </w:r>
      <w:r w:rsidR="000A6232" w:rsidRPr="00E70EBB">
        <w:t xml:space="preserve">) </w:t>
      </w:r>
      <w:r w:rsidR="00F154E0">
        <w:t>jour</w:t>
      </w:r>
      <w:r w:rsidR="000A6232" w:rsidRPr="00E70EBB">
        <w:t>s</w:t>
      </w:r>
      <w:r w:rsidR="00F64C87" w:rsidRPr="000873B9">
        <w:rPr>
          <w:lang w:val="fr-ML"/>
        </w:rPr>
        <w:t>.</w:t>
      </w:r>
    </w:p>
    <w:p w14:paraId="3E8837CF" w14:textId="1169F8BA" w:rsidR="00020279" w:rsidRPr="00711542" w:rsidRDefault="00603BF4" w:rsidP="00020279">
      <w:pPr>
        <w:jc w:val="both"/>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86125E" w:rsidRPr="00711542">
        <w:t>Un consultant sera sélectionné sur la base des critères</w:t>
      </w:r>
      <w:r w:rsidR="00020279" w:rsidRPr="00711542">
        <w:t xml:space="preserve"> s</w:t>
      </w:r>
      <w:r w:rsidR="0086125E" w:rsidRPr="00711542">
        <w:t>uivants</w:t>
      </w:r>
      <w:r w:rsidR="00020279" w:rsidRPr="00711542">
        <w:t> :</w:t>
      </w:r>
    </w:p>
    <w:p w14:paraId="5A459128" w14:textId="77777777" w:rsidR="00F154E0" w:rsidRPr="00163ACA" w:rsidRDefault="00F154E0" w:rsidP="00F154E0">
      <w:pPr>
        <w:pStyle w:val="Paragraphedeliste"/>
        <w:numPr>
          <w:ilvl w:val="0"/>
          <w:numId w:val="42"/>
        </w:numPr>
        <w:rPr>
          <w:rFonts w:ascii="Times New Roman" w:hAnsi="Times New Roman"/>
          <w:sz w:val="24"/>
          <w:szCs w:val="24"/>
        </w:rPr>
      </w:pPr>
      <w:r w:rsidRPr="00163ACA">
        <w:rPr>
          <w:rFonts w:ascii="Times New Roman" w:hAnsi="Times New Roman"/>
          <w:sz w:val="24"/>
          <w:szCs w:val="24"/>
        </w:rPr>
        <w:t xml:space="preserve">Une situation administrative régulière et conforme à la loi en vigueur en République du Mali </w:t>
      </w:r>
    </w:p>
    <w:p w14:paraId="39DEA06C" w14:textId="77777777" w:rsidR="00F154E0" w:rsidRPr="00163ACA" w:rsidRDefault="00F154E0" w:rsidP="00F154E0">
      <w:pPr>
        <w:pStyle w:val="Paragraphedeliste"/>
        <w:numPr>
          <w:ilvl w:val="0"/>
          <w:numId w:val="42"/>
        </w:numPr>
        <w:rPr>
          <w:rFonts w:ascii="Times New Roman" w:hAnsi="Times New Roman"/>
          <w:sz w:val="24"/>
          <w:szCs w:val="24"/>
        </w:rPr>
      </w:pPr>
      <w:r w:rsidRPr="00163ACA">
        <w:rPr>
          <w:rFonts w:ascii="Times New Roman" w:hAnsi="Times New Roman"/>
          <w:sz w:val="24"/>
          <w:szCs w:val="24"/>
        </w:rPr>
        <w:t>Un document   attestant sa qualification en menuiserie bois ;</w:t>
      </w:r>
    </w:p>
    <w:p w14:paraId="2CBD1080" w14:textId="77777777" w:rsidR="00F154E0" w:rsidRPr="00163ACA" w:rsidRDefault="00F154E0" w:rsidP="00F154E0">
      <w:pPr>
        <w:numPr>
          <w:ilvl w:val="0"/>
          <w:numId w:val="34"/>
        </w:numPr>
        <w:jc w:val="both"/>
        <w:rPr>
          <w:lang w:val="x-none"/>
        </w:rPr>
      </w:pPr>
      <w:r w:rsidRPr="00163ACA">
        <w:t xml:space="preserve">Assuré des prestations dans le domaine de l’aquaculture en général ; </w:t>
      </w:r>
    </w:p>
    <w:p w14:paraId="6C2EB9FE" w14:textId="77777777" w:rsidR="00F154E0" w:rsidRPr="00163ACA" w:rsidRDefault="00F154E0" w:rsidP="00F154E0">
      <w:pPr>
        <w:numPr>
          <w:ilvl w:val="0"/>
          <w:numId w:val="34"/>
        </w:numPr>
        <w:jc w:val="both"/>
        <w:rPr>
          <w:lang w:val="x-none"/>
        </w:rPr>
      </w:pPr>
      <w:r w:rsidRPr="00163ACA">
        <w:t>Assuré une formation similaire en pisciculture ;</w:t>
      </w:r>
    </w:p>
    <w:p w14:paraId="57A227A7" w14:textId="77777777" w:rsidR="00F154E0" w:rsidRPr="00163ACA" w:rsidRDefault="00F154E0" w:rsidP="00F154E0">
      <w:pPr>
        <w:numPr>
          <w:ilvl w:val="0"/>
          <w:numId w:val="34"/>
        </w:numPr>
        <w:jc w:val="both"/>
        <w:rPr>
          <w:lang w:val="x-none"/>
        </w:rPr>
      </w:pPr>
      <w:r w:rsidRPr="00163ACA">
        <w:t>Une</w:t>
      </w:r>
      <w:r w:rsidRPr="00163ACA">
        <w:rPr>
          <w:lang w:val="x-none"/>
        </w:rPr>
        <w:t xml:space="preserve"> expérience d</w:t>
      </w:r>
      <w:r w:rsidRPr="00163ACA">
        <w:t>ans la fabrication des bacs hors sol</w:t>
      </w:r>
      <w:r w:rsidRPr="00163ACA">
        <w:rPr>
          <w:lang w:val="x-none"/>
        </w:rPr>
        <w:t> ;</w:t>
      </w:r>
    </w:p>
    <w:p w14:paraId="0B450ED3" w14:textId="7CA6C3D2" w:rsidR="005D269B" w:rsidRPr="00163ACA" w:rsidRDefault="00F154E0" w:rsidP="00F154E0">
      <w:pPr>
        <w:numPr>
          <w:ilvl w:val="0"/>
          <w:numId w:val="34"/>
        </w:numPr>
        <w:jc w:val="both"/>
      </w:pPr>
      <w:r w:rsidRPr="00163ACA">
        <w:t xml:space="preserve"> Exécuté au moins un (01) marché similaire.</w:t>
      </w:r>
    </w:p>
    <w:p w14:paraId="6C43B5EA" w14:textId="77777777" w:rsidR="00F154E0" w:rsidRDefault="00F154E0" w:rsidP="00F154E0">
      <w:pPr>
        <w:ind w:left="720"/>
        <w:jc w:val="both"/>
      </w:pPr>
    </w:p>
    <w:p w14:paraId="3E8837D7" w14:textId="2FEF52B7"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0" w:name="_Hlk521323468"/>
      <w:r w:rsidR="00711542">
        <w:t>Règlement de Passation des Marchés pour les Emprunteurs sollicitant le Financement de Projets (FPI</w:t>
      </w:r>
      <w:bookmarkEnd w:id="0"/>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 xml:space="preserve">,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3516927C" w:rsidR="003A44C5" w:rsidRDefault="00603BF4" w:rsidP="003A44C5">
      <w:pPr>
        <w:tabs>
          <w:tab w:val="left" w:pos="567"/>
        </w:tabs>
        <w:ind w:right="72"/>
        <w:jc w:val="both"/>
      </w:pPr>
      <w:r>
        <w:t>6</w:t>
      </w:r>
      <w:r w:rsidR="003A44C5">
        <w:t>.</w:t>
      </w:r>
      <w:r w:rsidR="003A44C5">
        <w:tab/>
      </w:r>
      <w:r w:rsidR="00474B71">
        <w:t xml:space="preserve">Un Consultant </w:t>
      </w:r>
      <w:r w:rsidR="003A44C5" w:rsidRPr="00223D88">
        <w:t xml:space="preserve">sera sélectionné selon la méthode </w:t>
      </w:r>
      <w:r w:rsidR="00474B71">
        <w:t>« consultant individuel »</w:t>
      </w:r>
      <w:r w:rsidR="003A44C5" w:rsidRPr="00223D88">
        <w:t xml:space="preserve"> telle que décrite </w:t>
      </w:r>
      <w:r w:rsidR="00711542" w:rsidRPr="00AE2FC6">
        <w:t xml:space="preserve">dans </w:t>
      </w:r>
      <w:r w:rsidR="00711542">
        <w:t>le Règlement de Passation des Marchés</w:t>
      </w:r>
      <w:r w:rsidR="003A44C5" w:rsidRPr="00223D88">
        <w:t>.</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E8837DD" w14:textId="44108E8C" w:rsidR="00EC4097" w:rsidRPr="00846E99" w:rsidRDefault="00603BF4" w:rsidP="0078258E">
      <w:pPr>
        <w:tabs>
          <w:tab w:val="left" w:pos="567"/>
        </w:tabs>
        <w:jc w:val="both"/>
      </w:pPr>
      <w:r>
        <w:t>8</w:t>
      </w:r>
      <w:r w:rsidR="0078258E" w:rsidRPr="00584E67">
        <w:t xml:space="preserve">. </w:t>
      </w:r>
      <w:r w:rsidR="0078258E" w:rsidRPr="00584E67">
        <w:tab/>
      </w:r>
      <w:r w:rsidR="00CF1A8A" w:rsidRPr="00846E99">
        <w:t xml:space="preserve">Les manifestations d'intérêt </w:t>
      </w:r>
      <w:r w:rsidR="00163ACA">
        <w:t xml:space="preserve">qui comprennent : </w:t>
      </w:r>
      <w:r w:rsidR="00163ACA" w:rsidRPr="000247F5">
        <w:rPr>
          <w:b/>
        </w:rPr>
        <w:t>le CV du consultant,  la copie certifiée du diplôme ou de l’attestation de formation en menuiserie, la preuve de la réalisation de prestations similaires</w:t>
      </w:r>
      <w:r w:rsidR="000247F5" w:rsidRPr="000247F5">
        <w:rPr>
          <w:b/>
        </w:rPr>
        <w:t xml:space="preserve"> (formation en pisciculture et fabrication de bacs à sol)</w:t>
      </w:r>
      <w:r w:rsidR="00163ACA">
        <w:t xml:space="preserve">, </w:t>
      </w:r>
      <w:r w:rsidR="00CF1A8A" w:rsidRPr="00846E99">
        <w:t xml:space="preserve">doivent être déposées </w:t>
      </w:r>
      <w:r w:rsidR="00C404D3" w:rsidRPr="00846E99">
        <w:t xml:space="preserve">par courrier </w:t>
      </w:r>
      <w:r w:rsidR="00E92DCF" w:rsidRPr="00846E99">
        <w:t>physique</w:t>
      </w:r>
      <w:r w:rsidR="00667220" w:rsidRPr="00846E99">
        <w:t xml:space="preserve"> </w:t>
      </w:r>
      <w:r w:rsidR="00584E67" w:rsidRPr="00846E99">
        <w:t>à l’adresse ci-dess</w:t>
      </w:r>
      <w:r w:rsidR="00C404D3" w:rsidRPr="00846E99">
        <w:t>o</w:t>
      </w:r>
      <w:r w:rsidR="00584E67" w:rsidRPr="00846E99">
        <w:t xml:space="preserve">us </w:t>
      </w:r>
      <w:r w:rsidR="00A33AD1" w:rsidRPr="00846E99">
        <w:t xml:space="preserve">au plus tard le </w:t>
      </w:r>
      <w:r w:rsidR="005958F7">
        <w:rPr>
          <w:b/>
        </w:rPr>
        <w:t>12 avril</w:t>
      </w:r>
      <w:r w:rsidR="00C16A3C">
        <w:rPr>
          <w:b/>
        </w:rPr>
        <w:t xml:space="preserve"> </w:t>
      </w:r>
      <w:r w:rsidR="00474B71" w:rsidRPr="00846E99">
        <w:rPr>
          <w:b/>
        </w:rPr>
        <w:t>20</w:t>
      </w:r>
      <w:r w:rsidR="00C55805">
        <w:rPr>
          <w:b/>
        </w:rPr>
        <w:t>2</w:t>
      </w:r>
      <w:r w:rsidR="00F154E0">
        <w:rPr>
          <w:b/>
        </w:rPr>
        <w:t>1</w:t>
      </w:r>
      <w:r w:rsidR="00E53C75" w:rsidRPr="00846E99">
        <w:rPr>
          <w:b/>
        </w:rPr>
        <w:t xml:space="preserve"> </w:t>
      </w:r>
      <w:r w:rsidR="00A33AD1" w:rsidRPr="00846E99">
        <w:rPr>
          <w:b/>
        </w:rPr>
        <w:t xml:space="preserve">à 16H 00 </w:t>
      </w:r>
      <w:r w:rsidR="00CD4380" w:rsidRPr="00846E99">
        <w:rPr>
          <w:b/>
        </w:rPr>
        <w:t>TU</w:t>
      </w:r>
      <w:r w:rsidR="00D306FD" w:rsidRPr="00846E99">
        <w:rPr>
          <w:b/>
        </w:rPr>
        <w:t xml:space="preserve"> </w:t>
      </w:r>
      <w:r w:rsidR="00CF1A8A" w:rsidRPr="00846E99">
        <w:t xml:space="preserve">avec la mention </w:t>
      </w:r>
      <w:r w:rsidR="00EC4097" w:rsidRPr="00846E99">
        <w:t>suivante :</w:t>
      </w:r>
    </w:p>
    <w:p w14:paraId="3E8837DE" w14:textId="77777777" w:rsidR="00EC4097" w:rsidRPr="00846E99" w:rsidRDefault="00EC4097" w:rsidP="00CF1A8A">
      <w:pPr>
        <w:jc w:val="both"/>
      </w:pPr>
    </w:p>
    <w:p w14:paraId="3E8837DF" w14:textId="36F99FCD" w:rsidR="00EC4097" w:rsidRPr="00C46072" w:rsidRDefault="00EC4097" w:rsidP="00D30C6D">
      <w:pPr>
        <w:numPr>
          <w:ilvl w:val="0"/>
          <w:numId w:val="4"/>
        </w:numPr>
        <w:tabs>
          <w:tab w:val="left" w:pos="709"/>
        </w:tabs>
        <w:ind w:left="709" w:hanging="425"/>
        <w:jc w:val="both"/>
      </w:pPr>
      <w:r w:rsidRPr="00C46072">
        <w:t>Projet d’A</w:t>
      </w:r>
      <w:r w:rsidR="00DA7476" w:rsidRPr="00C46072">
        <w:t>ppu</w:t>
      </w:r>
      <w:r w:rsidR="004A4E63" w:rsidRPr="00C46072">
        <w:t xml:space="preserve">i </w:t>
      </w:r>
      <w:r w:rsidR="00DA7476" w:rsidRPr="00C46072">
        <w:t xml:space="preserve">au </w:t>
      </w:r>
      <w:r w:rsidR="00711542" w:rsidRPr="00C46072">
        <w:t>Développement de l’Elevage au Mali</w:t>
      </w:r>
    </w:p>
    <w:p w14:paraId="3E8837E0" w14:textId="4DC8407C" w:rsidR="00C7495E" w:rsidRPr="00C46072"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F154E0">
        <w:rPr>
          <w:rFonts w:ascii="Times New Roman" w:eastAsia="Calibri" w:hAnsi="Times New Roman"/>
          <w:b/>
          <w:bCs/>
          <w:sz w:val="24"/>
          <w:szCs w:val="24"/>
          <w:lang w:val="fr-MC"/>
        </w:rPr>
        <w:t>R</w:t>
      </w:r>
      <w:r w:rsidR="00F154E0" w:rsidRPr="00974476">
        <w:rPr>
          <w:rFonts w:ascii="Times New Roman" w:eastAsia="Calibri" w:hAnsi="Times New Roman"/>
          <w:b/>
          <w:bCs/>
          <w:sz w:val="24"/>
          <w:szCs w:val="24"/>
          <w:lang w:val="fr-MC"/>
        </w:rPr>
        <w:t>ecrutement d’un consultant pour la formation de 20 menuisiers en techniques de confection</w:t>
      </w:r>
      <w:r w:rsidR="00F154E0" w:rsidRPr="00974476">
        <w:rPr>
          <w:rFonts w:ascii="Times New Roman" w:eastAsia="Calibri" w:hAnsi="Times New Roman"/>
          <w:b/>
          <w:sz w:val="24"/>
          <w:szCs w:val="24"/>
          <w:lang w:val="fr-MC"/>
        </w:rPr>
        <w:t xml:space="preserve"> </w:t>
      </w:r>
      <w:r w:rsidR="00F154E0" w:rsidRPr="00974476">
        <w:rPr>
          <w:rFonts w:ascii="Times New Roman" w:eastAsia="Calibri" w:hAnsi="Times New Roman"/>
          <w:b/>
          <w:bCs/>
          <w:sz w:val="24"/>
          <w:szCs w:val="24"/>
          <w:lang w:val="fr-MC"/>
        </w:rPr>
        <w:t>de</w:t>
      </w:r>
      <w:r w:rsidR="00F154E0" w:rsidRPr="00974476">
        <w:rPr>
          <w:rFonts w:ascii="Times New Roman" w:eastAsia="Calibri" w:hAnsi="Times New Roman"/>
          <w:b/>
          <w:sz w:val="24"/>
          <w:szCs w:val="24"/>
          <w:lang w:val="fr-MC"/>
        </w:rPr>
        <w:t xml:space="preserve"> </w:t>
      </w:r>
      <w:r w:rsidR="00F154E0" w:rsidRPr="00974476">
        <w:rPr>
          <w:rFonts w:ascii="Times New Roman" w:eastAsia="Calibri" w:hAnsi="Times New Roman"/>
          <w:b/>
          <w:bCs/>
          <w:sz w:val="24"/>
          <w:szCs w:val="24"/>
          <w:lang w:val="fr-MC"/>
        </w:rPr>
        <w:t>bacs hors sols</w:t>
      </w:r>
      <w:r w:rsidR="00C7495E" w:rsidRPr="00C46072">
        <w:rPr>
          <w:rFonts w:ascii="Times New Roman" w:hAnsi="Times New Roman"/>
          <w:sz w:val="24"/>
          <w:szCs w:val="24"/>
        </w:rPr>
        <w:t>»</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3E8837E4" w14:textId="04B7181F" w:rsidR="00C404D3" w:rsidRDefault="00C404D3" w:rsidP="00C404D3">
      <w:pPr>
        <w:tabs>
          <w:tab w:val="left" w:pos="540"/>
        </w:tabs>
        <w:ind w:left="567"/>
        <w:jc w:val="both"/>
      </w:pPr>
      <w:r w:rsidRPr="00E3629D">
        <w:t>Projet</w:t>
      </w:r>
      <w:r w:rsidR="00132244">
        <w:t xml:space="preserve"> </w:t>
      </w:r>
      <w:r w:rsidRPr="00E3629D">
        <w:t xml:space="preserve">d’Appui au </w:t>
      </w:r>
      <w:r w:rsidR="009A7A2F">
        <w:t>Développement</w:t>
      </w:r>
      <w:r w:rsidR="00711542">
        <w:t xml:space="preserve"> de l’Elevage au Ma</w:t>
      </w:r>
      <w:r w:rsidR="00132244">
        <w:t>l</w:t>
      </w:r>
      <w:r w:rsidR="00711542">
        <w:t>i</w:t>
      </w:r>
    </w:p>
    <w:p w14:paraId="3E8837E5" w14:textId="77777777"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7B0D3BAA"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C8489B">
        <w:rPr>
          <w:bCs/>
        </w:rPr>
        <w:t>OUEZZIN COULIBALY</w:t>
      </w:r>
      <w:bookmarkStart w:id="1" w:name="_GoBack"/>
      <w:bookmarkEnd w:id="1"/>
      <w:r>
        <w:rPr>
          <w:bCs/>
        </w:rPr>
        <w:t>, contigu à l’IPR/IFRA Annexe</w:t>
      </w:r>
    </w:p>
    <w:p w14:paraId="3E8837E8" w14:textId="4A7BFFB9" w:rsidR="00132244" w:rsidRDefault="00AC0984" w:rsidP="00C404D3">
      <w:pPr>
        <w:widowControl w:val="0"/>
        <w:tabs>
          <w:tab w:val="right" w:pos="7254"/>
        </w:tabs>
        <w:autoSpaceDE w:val="0"/>
        <w:autoSpaceDN w:val="0"/>
        <w:adjustRightInd w:val="0"/>
        <w:ind w:left="567"/>
        <w:jc w:val="both"/>
        <w:rPr>
          <w:bCs/>
        </w:rPr>
      </w:pPr>
      <w:r>
        <w:rPr>
          <w:bCs/>
        </w:rPr>
        <w:t>Tél. 66 75 80 51/ 66 75 80 54/</w:t>
      </w:r>
      <w:r w:rsidR="00F154E0">
        <w:rPr>
          <w:bCs/>
        </w:rPr>
        <w:t>66 73 19 59</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2877A9">
      <w:footerReference w:type="default" r:id="rId7"/>
      <w:pgSz w:w="11906" w:h="16838"/>
      <w:pgMar w:top="709" w:right="1133" w:bottom="719"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EDD61" w14:textId="77777777" w:rsidR="00FC1847" w:rsidRDefault="00FC1847">
      <w:r>
        <w:separator/>
      </w:r>
    </w:p>
  </w:endnote>
  <w:endnote w:type="continuationSeparator" w:id="0">
    <w:p w14:paraId="2251CD58" w14:textId="77777777" w:rsidR="00FC1847" w:rsidRDefault="00FC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5D62C" w14:textId="77777777" w:rsidR="00FC1847" w:rsidRDefault="00FC1847">
      <w:r>
        <w:separator/>
      </w:r>
    </w:p>
  </w:footnote>
  <w:footnote w:type="continuationSeparator" w:id="0">
    <w:p w14:paraId="3BDE6F8E" w14:textId="77777777" w:rsidR="00FC1847" w:rsidRDefault="00FC1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8">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3">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3">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1">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35"/>
  </w:num>
  <w:num w:numId="4">
    <w:abstractNumId w:val="6"/>
  </w:num>
  <w:num w:numId="5">
    <w:abstractNumId w:val="9"/>
  </w:num>
  <w:num w:numId="6">
    <w:abstractNumId w:val="10"/>
  </w:num>
  <w:num w:numId="7">
    <w:abstractNumId w:val="29"/>
  </w:num>
  <w:num w:numId="8">
    <w:abstractNumId w:val="24"/>
  </w:num>
  <w:num w:numId="9">
    <w:abstractNumId w:val="21"/>
  </w:num>
  <w:num w:numId="10">
    <w:abstractNumId w:val="22"/>
  </w:num>
  <w:num w:numId="11">
    <w:abstractNumId w:val="37"/>
  </w:num>
  <w:num w:numId="12">
    <w:abstractNumId w:val="36"/>
  </w:num>
  <w:num w:numId="13">
    <w:abstractNumId w:val="26"/>
  </w:num>
  <w:num w:numId="14">
    <w:abstractNumId w:val="33"/>
  </w:num>
  <w:num w:numId="15">
    <w:abstractNumId w:val="13"/>
  </w:num>
  <w:num w:numId="16">
    <w:abstractNumId w:val="19"/>
  </w:num>
  <w:num w:numId="17">
    <w:abstractNumId w:val="4"/>
  </w:num>
  <w:num w:numId="18">
    <w:abstractNumId w:val="18"/>
  </w:num>
  <w:num w:numId="19">
    <w:abstractNumId w:val="41"/>
  </w:num>
  <w:num w:numId="20">
    <w:abstractNumId w:val="5"/>
  </w:num>
  <w:num w:numId="21">
    <w:abstractNumId w:val="25"/>
  </w:num>
  <w:num w:numId="22">
    <w:abstractNumId w:val="1"/>
  </w:num>
  <w:num w:numId="23">
    <w:abstractNumId w:val="11"/>
  </w:num>
  <w:num w:numId="24">
    <w:abstractNumId w:val="28"/>
  </w:num>
  <w:num w:numId="25">
    <w:abstractNumId w:val="8"/>
  </w:num>
  <w:num w:numId="26">
    <w:abstractNumId w:val="7"/>
  </w:num>
  <w:num w:numId="27">
    <w:abstractNumId w:val="27"/>
  </w:num>
  <w:num w:numId="28">
    <w:abstractNumId w:val="31"/>
  </w:num>
  <w:num w:numId="29">
    <w:abstractNumId w:val="40"/>
  </w:num>
  <w:num w:numId="30">
    <w:abstractNumId w:val="12"/>
  </w:num>
  <w:num w:numId="31">
    <w:abstractNumId w:val="20"/>
  </w:num>
  <w:num w:numId="32">
    <w:abstractNumId w:val="3"/>
  </w:num>
  <w:num w:numId="33">
    <w:abstractNumId w:val="2"/>
  </w:num>
  <w:num w:numId="34">
    <w:abstractNumId w:val="39"/>
  </w:num>
  <w:num w:numId="35">
    <w:abstractNumId w:val="32"/>
  </w:num>
  <w:num w:numId="36">
    <w:abstractNumId w:val="23"/>
  </w:num>
  <w:num w:numId="37">
    <w:abstractNumId w:val="38"/>
  </w:num>
  <w:num w:numId="38">
    <w:abstractNumId w:val="0"/>
  </w:num>
  <w:num w:numId="39">
    <w:abstractNumId w:val="30"/>
  </w:num>
  <w:num w:numId="40">
    <w:abstractNumId w:val="34"/>
  </w:num>
  <w:num w:numId="41">
    <w:abstractNumId w:val="15"/>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8A"/>
    <w:rsid w:val="00007AC3"/>
    <w:rsid w:val="0001544B"/>
    <w:rsid w:val="000161F6"/>
    <w:rsid w:val="00020279"/>
    <w:rsid w:val="00023CD9"/>
    <w:rsid w:val="000247F5"/>
    <w:rsid w:val="00041831"/>
    <w:rsid w:val="000425D3"/>
    <w:rsid w:val="00062E19"/>
    <w:rsid w:val="000830CD"/>
    <w:rsid w:val="00087312"/>
    <w:rsid w:val="000975B1"/>
    <w:rsid w:val="000A6232"/>
    <w:rsid w:val="000A78CA"/>
    <w:rsid w:val="000C7FE5"/>
    <w:rsid w:val="000E7B3B"/>
    <w:rsid w:val="00112D9C"/>
    <w:rsid w:val="00115931"/>
    <w:rsid w:val="001230A5"/>
    <w:rsid w:val="001245D6"/>
    <w:rsid w:val="00131B8F"/>
    <w:rsid w:val="00132244"/>
    <w:rsid w:val="00142C2B"/>
    <w:rsid w:val="001435F3"/>
    <w:rsid w:val="00144ACF"/>
    <w:rsid w:val="00152393"/>
    <w:rsid w:val="00157C7E"/>
    <w:rsid w:val="00163ACA"/>
    <w:rsid w:val="00167EFC"/>
    <w:rsid w:val="00173CC2"/>
    <w:rsid w:val="00183398"/>
    <w:rsid w:val="00185A6C"/>
    <w:rsid w:val="00192E39"/>
    <w:rsid w:val="001A4BB2"/>
    <w:rsid w:val="001B7BAF"/>
    <w:rsid w:val="001C1900"/>
    <w:rsid w:val="001C4E02"/>
    <w:rsid w:val="001D3EE1"/>
    <w:rsid w:val="001E0292"/>
    <w:rsid w:val="001E1489"/>
    <w:rsid w:val="001E631B"/>
    <w:rsid w:val="00223E9F"/>
    <w:rsid w:val="00233274"/>
    <w:rsid w:val="00270BA4"/>
    <w:rsid w:val="00272788"/>
    <w:rsid w:val="0028291E"/>
    <w:rsid w:val="002877A9"/>
    <w:rsid w:val="002938CA"/>
    <w:rsid w:val="002A3136"/>
    <w:rsid w:val="002A668B"/>
    <w:rsid w:val="002A7D9D"/>
    <w:rsid w:val="002C2405"/>
    <w:rsid w:val="002C308B"/>
    <w:rsid w:val="002D1929"/>
    <w:rsid w:val="002D3FF9"/>
    <w:rsid w:val="002E4E89"/>
    <w:rsid w:val="003055AB"/>
    <w:rsid w:val="0031183A"/>
    <w:rsid w:val="003317BD"/>
    <w:rsid w:val="00343C6E"/>
    <w:rsid w:val="00355E8E"/>
    <w:rsid w:val="003645DC"/>
    <w:rsid w:val="003650F1"/>
    <w:rsid w:val="00386927"/>
    <w:rsid w:val="003A44C5"/>
    <w:rsid w:val="003A7703"/>
    <w:rsid w:val="003B43E9"/>
    <w:rsid w:val="003B4F69"/>
    <w:rsid w:val="003C1DEB"/>
    <w:rsid w:val="00405EE1"/>
    <w:rsid w:val="00411465"/>
    <w:rsid w:val="00413ED1"/>
    <w:rsid w:val="00434EDE"/>
    <w:rsid w:val="00440A3A"/>
    <w:rsid w:val="00456B0F"/>
    <w:rsid w:val="004641EE"/>
    <w:rsid w:val="00474B71"/>
    <w:rsid w:val="0048417E"/>
    <w:rsid w:val="00485BC4"/>
    <w:rsid w:val="00486988"/>
    <w:rsid w:val="004962ED"/>
    <w:rsid w:val="004A3A7D"/>
    <w:rsid w:val="004A4E63"/>
    <w:rsid w:val="004B16CA"/>
    <w:rsid w:val="004B2159"/>
    <w:rsid w:val="004B27EF"/>
    <w:rsid w:val="004C1FC7"/>
    <w:rsid w:val="004E494C"/>
    <w:rsid w:val="004E713B"/>
    <w:rsid w:val="005105F2"/>
    <w:rsid w:val="00530D08"/>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D269B"/>
    <w:rsid w:val="005D6A77"/>
    <w:rsid w:val="005E5F9D"/>
    <w:rsid w:val="005F7F60"/>
    <w:rsid w:val="00601FE9"/>
    <w:rsid w:val="00603BF4"/>
    <w:rsid w:val="00603D07"/>
    <w:rsid w:val="00624AE5"/>
    <w:rsid w:val="006257EF"/>
    <w:rsid w:val="00651C9E"/>
    <w:rsid w:val="00663C4A"/>
    <w:rsid w:val="00667220"/>
    <w:rsid w:val="00670F44"/>
    <w:rsid w:val="00686CF8"/>
    <w:rsid w:val="00695476"/>
    <w:rsid w:val="00695875"/>
    <w:rsid w:val="0069605E"/>
    <w:rsid w:val="006A107C"/>
    <w:rsid w:val="006A4201"/>
    <w:rsid w:val="006C004B"/>
    <w:rsid w:val="006C2341"/>
    <w:rsid w:val="006D256E"/>
    <w:rsid w:val="006D2CF5"/>
    <w:rsid w:val="006D39E8"/>
    <w:rsid w:val="006D75F3"/>
    <w:rsid w:val="006E1357"/>
    <w:rsid w:val="00704190"/>
    <w:rsid w:val="00706DBF"/>
    <w:rsid w:val="00711542"/>
    <w:rsid w:val="00711815"/>
    <w:rsid w:val="007122B4"/>
    <w:rsid w:val="00712B81"/>
    <w:rsid w:val="00714066"/>
    <w:rsid w:val="007211CE"/>
    <w:rsid w:val="00723231"/>
    <w:rsid w:val="00732B93"/>
    <w:rsid w:val="00740C00"/>
    <w:rsid w:val="00744F1C"/>
    <w:rsid w:val="00757F2D"/>
    <w:rsid w:val="00765860"/>
    <w:rsid w:val="00766BE1"/>
    <w:rsid w:val="00777071"/>
    <w:rsid w:val="0078258E"/>
    <w:rsid w:val="00782754"/>
    <w:rsid w:val="00784E0F"/>
    <w:rsid w:val="007C3606"/>
    <w:rsid w:val="007D166C"/>
    <w:rsid w:val="007E004F"/>
    <w:rsid w:val="007E09F3"/>
    <w:rsid w:val="007F7115"/>
    <w:rsid w:val="00804D28"/>
    <w:rsid w:val="00807101"/>
    <w:rsid w:val="00820199"/>
    <w:rsid w:val="00846E99"/>
    <w:rsid w:val="008508CE"/>
    <w:rsid w:val="00855050"/>
    <w:rsid w:val="0086125E"/>
    <w:rsid w:val="00861535"/>
    <w:rsid w:val="0086659E"/>
    <w:rsid w:val="00892EF8"/>
    <w:rsid w:val="008A1A55"/>
    <w:rsid w:val="008A49BE"/>
    <w:rsid w:val="008A56D1"/>
    <w:rsid w:val="008C3521"/>
    <w:rsid w:val="008D277C"/>
    <w:rsid w:val="008D7197"/>
    <w:rsid w:val="008E217F"/>
    <w:rsid w:val="008F02C6"/>
    <w:rsid w:val="008F5FB1"/>
    <w:rsid w:val="008F6CFF"/>
    <w:rsid w:val="009047D6"/>
    <w:rsid w:val="009107C8"/>
    <w:rsid w:val="00912D22"/>
    <w:rsid w:val="009154B6"/>
    <w:rsid w:val="00916E37"/>
    <w:rsid w:val="009260A6"/>
    <w:rsid w:val="0093654A"/>
    <w:rsid w:val="00975008"/>
    <w:rsid w:val="00977BD7"/>
    <w:rsid w:val="0098584E"/>
    <w:rsid w:val="00991C85"/>
    <w:rsid w:val="009A0C15"/>
    <w:rsid w:val="009A7A2F"/>
    <w:rsid w:val="009B7874"/>
    <w:rsid w:val="009C2EB9"/>
    <w:rsid w:val="009D31EE"/>
    <w:rsid w:val="009D4555"/>
    <w:rsid w:val="009E31B0"/>
    <w:rsid w:val="009E793F"/>
    <w:rsid w:val="00A10016"/>
    <w:rsid w:val="00A12488"/>
    <w:rsid w:val="00A1357C"/>
    <w:rsid w:val="00A17377"/>
    <w:rsid w:val="00A17A8D"/>
    <w:rsid w:val="00A3293D"/>
    <w:rsid w:val="00A33AD1"/>
    <w:rsid w:val="00A362DB"/>
    <w:rsid w:val="00A4736E"/>
    <w:rsid w:val="00A54D88"/>
    <w:rsid w:val="00A607E6"/>
    <w:rsid w:val="00A61CEF"/>
    <w:rsid w:val="00A6644B"/>
    <w:rsid w:val="00A740B1"/>
    <w:rsid w:val="00A77195"/>
    <w:rsid w:val="00A77876"/>
    <w:rsid w:val="00AA19B2"/>
    <w:rsid w:val="00AC0984"/>
    <w:rsid w:val="00AF11A3"/>
    <w:rsid w:val="00AF56B0"/>
    <w:rsid w:val="00AF7267"/>
    <w:rsid w:val="00B1548A"/>
    <w:rsid w:val="00B30D74"/>
    <w:rsid w:val="00B43A11"/>
    <w:rsid w:val="00B51021"/>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F23"/>
    <w:rsid w:val="00BF1AD7"/>
    <w:rsid w:val="00BF4554"/>
    <w:rsid w:val="00BF7899"/>
    <w:rsid w:val="00C0080E"/>
    <w:rsid w:val="00C12F57"/>
    <w:rsid w:val="00C16A3C"/>
    <w:rsid w:val="00C27C62"/>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489B"/>
    <w:rsid w:val="00CA6833"/>
    <w:rsid w:val="00CA7F9D"/>
    <w:rsid w:val="00CB5C1B"/>
    <w:rsid w:val="00CC0250"/>
    <w:rsid w:val="00CD02A1"/>
    <w:rsid w:val="00CD4380"/>
    <w:rsid w:val="00CD56DD"/>
    <w:rsid w:val="00CE5111"/>
    <w:rsid w:val="00CE6C57"/>
    <w:rsid w:val="00CF1A8A"/>
    <w:rsid w:val="00D02844"/>
    <w:rsid w:val="00D16B6D"/>
    <w:rsid w:val="00D17D40"/>
    <w:rsid w:val="00D26C80"/>
    <w:rsid w:val="00D3010D"/>
    <w:rsid w:val="00D306FD"/>
    <w:rsid w:val="00D30C6D"/>
    <w:rsid w:val="00D333E8"/>
    <w:rsid w:val="00D42BE9"/>
    <w:rsid w:val="00D46429"/>
    <w:rsid w:val="00D54A50"/>
    <w:rsid w:val="00D557A7"/>
    <w:rsid w:val="00D559F8"/>
    <w:rsid w:val="00D85B0D"/>
    <w:rsid w:val="00DA200C"/>
    <w:rsid w:val="00DA6BDD"/>
    <w:rsid w:val="00DA7476"/>
    <w:rsid w:val="00DB1292"/>
    <w:rsid w:val="00DC07C5"/>
    <w:rsid w:val="00DD0BAA"/>
    <w:rsid w:val="00DD61BC"/>
    <w:rsid w:val="00DE5E3D"/>
    <w:rsid w:val="00DE6919"/>
    <w:rsid w:val="00DF43A7"/>
    <w:rsid w:val="00DF6ED3"/>
    <w:rsid w:val="00E019C0"/>
    <w:rsid w:val="00E07E34"/>
    <w:rsid w:val="00E14AE6"/>
    <w:rsid w:val="00E15A0C"/>
    <w:rsid w:val="00E2447A"/>
    <w:rsid w:val="00E337C7"/>
    <w:rsid w:val="00E41D02"/>
    <w:rsid w:val="00E51737"/>
    <w:rsid w:val="00E53C75"/>
    <w:rsid w:val="00E56A3F"/>
    <w:rsid w:val="00E605F1"/>
    <w:rsid w:val="00E6332F"/>
    <w:rsid w:val="00E75269"/>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57BE"/>
    <w:rsid w:val="00F0477E"/>
    <w:rsid w:val="00F154E0"/>
    <w:rsid w:val="00F36E0E"/>
    <w:rsid w:val="00F425CB"/>
    <w:rsid w:val="00F54FE7"/>
    <w:rsid w:val="00F56D3C"/>
    <w:rsid w:val="00F636FF"/>
    <w:rsid w:val="00F64C87"/>
    <w:rsid w:val="00F70E95"/>
    <w:rsid w:val="00F71FB7"/>
    <w:rsid w:val="00F778B3"/>
    <w:rsid w:val="00F820F9"/>
    <w:rsid w:val="00F84418"/>
    <w:rsid w:val="00F87C14"/>
    <w:rsid w:val="00FB448B"/>
    <w:rsid w:val="00FC1847"/>
    <w:rsid w:val="00FC52A0"/>
    <w:rsid w:val="00FD16D7"/>
    <w:rsid w:val="00FD1E5D"/>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1"/>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1227</Words>
  <Characters>6750</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Compte Microsoft</cp:lastModifiedBy>
  <cp:revision>2</cp:revision>
  <dcterms:created xsi:type="dcterms:W3CDTF">2021-03-24T10:54:00Z</dcterms:created>
  <dcterms:modified xsi:type="dcterms:W3CDTF">2021-03-24T10:54:00Z</dcterms:modified>
</cp:coreProperties>
</file>