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0CD0" w:rsidRDefault="00E40CD0" w:rsidP="00E40CD0">
      <w:pPr>
        <w:jc w:val="center"/>
        <w:rPr>
          <w:b/>
          <w:sz w:val="32"/>
          <w:szCs w:val="32"/>
        </w:rPr>
      </w:pPr>
      <w:r>
        <w:rPr>
          <w:b/>
          <w:sz w:val="32"/>
          <w:szCs w:val="32"/>
        </w:rPr>
        <w:t>Avis d’Appel d’Offres Ouvert – Cas sans pré qualification</w:t>
      </w:r>
    </w:p>
    <w:p w:rsidR="00E40CD0" w:rsidRDefault="00E40CD0" w:rsidP="00E40CD0">
      <w:pPr>
        <w:pStyle w:val="Notedebasdepage"/>
        <w:tabs>
          <w:tab w:val="left" w:pos="720"/>
        </w:tabs>
        <w:jc w:val="center"/>
      </w:pPr>
    </w:p>
    <w:p w:rsidR="00E40CD0" w:rsidRDefault="00E40CD0" w:rsidP="00E40CD0">
      <w:pPr>
        <w:pStyle w:val="Notedebasdepage"/>
        <w:tabs>
          <w:tab w:val="left" w:pos="720"/>
        </w:tabs>
        <w:jc w:val="center"/>
      </w:pPr>
    </w:p>
    <w:p w:rsidR="00E40CD0" w:rsidRDefault="00E40CD0" w:rsidP="00E40CD0">
      <w:pPr>
        <w:jc w:val="center"/>
        <w:rPr>
          <w:b/>
          <w:sz w:val="28"/>
        </w:rPr>
      </w:pPr>
      <w:r>
        <w:rPr>
          <w:b/>
          <w:sz w:val="28"/>
        </w:rPr>
        <w:t xml:space="preserve">Modèle d’avis d’appel d’offres </w:t>
      </w:r>
    </w:p>
    <w:p w:rsidR="00E40CD0" w:rsidRDefault="00E40CD0" w:rsidP="00E40CD0">
      <w:pPr>
        <w:jc w:val="center"/>
        <w:rPr>
          <w:b/>
          <w:sz w:val="28"/>
        </w:rPr>
      </w:pPr>
    </w:p>
    <w:p w:rsidR="00E40CD0" w:rsidRDefault="00E40CD0" w:rsidP="00E40CD0">
      <w:pPr>
        <w:jc w:val="center"/>
        <w:rPr>
          <w:b/>
          <w:sz w:val="32"/>
          <w:szCs w:val="32"/>
        </w:rPr>
      </w:pPr>
      <w:r>
        <w:rPr>
          <w:b/>
          <w:sz w:val="32"/>
          <w:szCs w:val="32"/>
        </w:rPr>
        <w:t>Avis d’Appel d’Offres Ouvert (AAOO)</w:t>
      </w:r>
    </w:p>
    <w:p w:rsidR="00E40CD0" w:rsidRDefault="00E40CD0" w:rsidP="00E40CD0">
      <w:pPr>
        <w:jc w:val="center"/>
        <w:rPr>
          <w:b/>
          <w:bCs/>
          <w:sz w:val="40"/>
        </w:rPr>
      </w:pPr>
    </w:p>
    <w:p w:rsidR="00E40CD0" w:rsidRPr="00E65AE9" w:rsidRDefault="00E40CD0" w:rsidP="00E40CD0">
      <w:pPr>
        <w:jc w:val="center"/>
        <w:rPr>
          <w:b/>
          <w:bCs/>
          <w:i/>
          <w:iCs/>
          <w:lang w:val="en-US"/>
        </w:rPr>
      </w:pPr>
      <w:r w:rsidRPr="00E65AE9">
        <w:rPr>
          <w:b/>
          <w:bCs/>
          <w:i/>
          <w:iCs/>
          <w:lang w:val="en-US"/>
        </w:rPr>
        <w:t>AGETIER-MALI</w:t>
      </w:r>
    </w:p>
    <w:p w:rsidR="00E40CD0" w:rsidRPr="00E65AE9" w:rsidRDefault="00E40CD0" w:rsidP="00E40CD0">
      <w:pPr>
        <w:pStyle w:val="Liste2"/>
        <w:jc w:val="center"/>
        <w:rPr>
          <w:b/>
          <w:spacing w:val="-2"/>
          <w:lang w:val="en-US"/>
        </w:rPr>
      </w:pPr>
      <w:r w:rsidRPr="00E65AE9">
        <w:rPr>
          <w:b/>
          <w:lang w:val="en-US"/>
        </w:rPr>
        <w:t>AAON N</w:t>
      </w:r>
      <w:r w:rsidRPr="00E65AE9">
        <w:rPr>
          <w:b/>
          <w:position w:val="7"/>
          <w:lang w:val="en-US"/>
        </w:rPr>
        <w:t>o…</w:t>
      </w:r>
      <w:r w:rsidRPr="00E65AE9">
        <w:rPr>
          <w:b/>
          <w:lang w:val="en-US"/>
        </w:rPr>
        <w:t>/DG/AGETIER/</w:t>
      </w:r>
      <w:r w:rsidRPr="00E65AE9">
        <w:rPr>
          <w:b/>
          <w:spacing w:val="-2"/>
          <w:lang w:val="en-US"/>
        </w:rPr>
        <w:t>2019</w:t>
      </w:r>
    </w:p>
    <w:p w:rsidR="00E40CD0" w:rsidRPr="0096155B" w:rsidRDefault="00E40CD0" w:rsidP="00E40CD0">
      <w:pPr>
        <w:tabs>
          <w:tab w:val="right" w:pos="9000"/>
        </w:tabs>
        <w:ind w:right="-90"/>
        <w:jc w:val="center"/>
        <w:rPr>
          <w:b/>
          <w:spacing w:val="-2"/>
        </w:rPr>
      </w:pPr>
      <w:r w:rsidRPr="0096155B">
        <w:rPr>
          <w:b/>
          <w:spacing w:val="-2"/>
        </w:rPr>
        <w:t xml:space="preserve">Financement : </w:t>
      </w:r>
      <w:r>
        <w:rPr>
          <w:b/>
        </w:rPr>
        <w:t>BAD/ Gouvernement du Mali</w:t>
      </w:r>
    </w:p>
    <w:p w:rsidR="00E40CD0" w:rsidRDefault="00E40CD0" w:rsidP="00E40CD0">
      <w:pPr>
        <w:jc w:val="center"/>
        <w:rPr>
          <w:b/>
          <w:bCs/>
          <w:i/>
          <w:iCs/>
        </w:rPr>
      </w:pPr>
    </w:p>
    <w:p w:rsidR="00E40CD0" w:rsidRDefault="00E40CD0" w:rsidP="00E40CD0">
      <w:pPr>
        <w:jc w:val="center"/>
        <w:rPr>
          <w:b/>
          <w:bCs/>
          <w:i/>
          <w:iCs/>
        </w:rPr>
      </w:pPr>
    </w:p>
    <w:p w:rsidR="00E40CD0" w:rsidRPr="00655886" w:rsidRDefault="00E40CD0" w:rsidP="00E40CD0">
      <w:pPr>
        <w:pStyle w:val="Paragraphedeliste"/>
        <w:numPr>
          <w:ilvl w:val="0"/>
          <w:numId w:val="1"/>
        </w:numPr>
        <w:spacing w:after="200"/>
        <w:rPr>
          <w:spacing w:val="-2"/>
        </w:rPr>
      </w:pPr>
      <w:r>
        <w:t xml:space="preserve">Cet Avis d’appel d’offres fait suite à l’Avis Général de Passation des Marchés </w:t>
      </w:r>
      <w:r w:rsidRPr="00F91724">
        <w:t xml:space="preserve">paru </w:t>
      </w:r>
      <w:r w:rsidRPr="00655886">
        <w:rPr>
          <w:spacing w:val="-2"/>
        </w:rPr>
        <w:t>sur le site Développent Business et sur le portail de la Banque (</w:t>
      </w:r>
      <w:hyperlink r:id="rId5" w:history="1">
        <w:r w:rsidRPr="00655886">
          <w:rPr>
            <w:rStyle w:val="Lienhypertexte"/>
            <w:spacing w:val="-2"/>
          </w:rPr>
          <w:t>www.afdb.org</w:t>
        </w:r>
      </w:hyperlink>
      <w:r w:rsidRPr="00655886">
        <w:rPr>
          <w:spacing w:val="-2"/>
        </w:rPr>
        <w:t xml:space="preserve">) le 20/03/2019, et </w:t>
      </w:r>
      <w:r w:rsidRPr="00655886">
        <w:rPr>
          <w:rFonts w:eastAsia="Calibri"/>
          <w:spacing w:val="-2"/>
          <w:sz w:val="22"/>
          <w:szCs w:val="22"/>
          <w:lang w:eastAsia="en-US"/>
        </w:rPr>
        <w:t>dans l’Annonceur, quotidien national d’information du Mali</w:t>
      </w:r>
      <w:r w:rsidRPr="00655886">
        <w:rPr>
          <w:spacing w:val="-2"/>
        </w:rPr>
        <w:t xml:space="preserve"> du 02/04/2019 et dans Jeune Afrique du 04/04/2019.</w:t>
      </w:r>
    </w:p>
    <w:p w:rsidR="00E40CD0" w:rsidRPr="009557E5" w:rsidRDefault="00E40CD0" w:rsidP="00E40CD0">
      <w:pPr>
        <w:numPr>
          <w:ilvl w:val="0"/>
          <w:numId w:val="1"/>
        </w:numPr>
        <w:suppressAutoHyphens w:val="0"/>
        <w:overflowPunct/>
        <w:autoSpaceDE/>
        <w:adjustRightInd/>
        <w:spacing w:after="200"/>
        <w:ind w:left="0" w:firstLine="0"/>
        <w:textAlignment w:val="auto"/>
      </w:pPr>
      <w:r>
        <w:t xml:space="preserve">Le Gouvernement du Mali </w:t>
      </w:r>
      <w:r>
        <w:rPr>
          <w:i/>
          <w:iCs/>
        </w:rPr>
        <w:t xml:space="preserve">a </w:t>
      </w:r>
      <w:r w:rsidRPr="00E65AE9">
        <w:t>obtenu</w:t>
      </w:r>
      <w:r>
        <w:t xml:space="preserve"> des fonds</w:t>
      </w:r>
      <w:r w:rsidRPr="00E65AE9">
        <w:t xml:space="preserve"> de la Banque Africaine de Développement</w:t>
      </w:r>
      <w:r>
        <w:t xml:space="preserve"> (BAD), afin de financer</w:t>
      </w:r>
      <w:r>
        <w:rPr>
          <w:i/>
          <w:iCs/>
        </w:rPr>
        <w:t xml:space="preserve"> </w:t>
      </w:r>
      <w:r w:rsidRPr="0051108D">
        <w:rPr>
          <w:spacing w:val="-2"/>
        </w:rPr>
        <w:t>Projet d'Appui à la Réinsertion Socio-économique des Populations du Nord du Mali (PARSEP-NM)</w:t>
      </w:r>
      <w:r>
        <w:rPr>
          <w:i/>
          <w:iCs/>
        </w:rPr>
        <w:t>,</w:t>
      </w:r>
      <w:r>
        <w:t xml:space="preserve"> et à l’intention d’utiliser une partie de ces fonds pour effectuer des paiements au titre du Marché </w:t>
      </w:r>
      <w:r w:rsidRPr="0051108D">
        <w:rPr>
          <w:spacing w:val="-2"/>
        </w:rPr>
        <w:t xml:space="preserve">des travaux de </w:t>
      </w:r>
      <w:r w:rsidRPr="0051108D">
        <w:rPr>
          <w:color w:val="000000"/>
          <w:spacing w:val="-2"/>
        </w:rPr>
        <w:t>réalisation de points d’eau dans certaines localités des régions de Ségou et Mopti</w:t>
      </w:r>
      <w:r>
        <w:rPr>
          <w:i/>
          <w:iCs/>
        </w:rPr>
        <w:t>.</w:t>
      </w:r>
    </w:p>
    <w:p w:rsidR="00E40CD0" w:rsidRDefault="00E40CD0" w:rsidP="00E40CD0">
      <w:pPr>
        <w:pStyle w:val="Paragraphedeliste"/>
        <w:tabs>
          <w:tab w:val="left" w:pos="0"/>
        </w:tabs>
        <w:suppressAutoHyphens w:val="0"/>
        <w:overflowPunct/>
        <w:autoSpaceDE/>
        <w:autoSpaceDN/>
        <w:adjustRightInd/>
        <w:ind w:left="720"/>
        <w:contextualSpacing/>
        <w:textAlignment w:val="auto"/>
        <w:rPr>
          <w:spacing w:val="-2"/>
        </w:rPr>
      </w:pPr>
      <w:r w:rsidRPr="0096155B">
        <w:rPr>
          <w:spacing w:val="-2"/>
        </w:rPr>
        <w:t xml:space="preserve">Le </w:t>
      </w:r>
      <w:r w:rsidRPr="0051108D">
        <w:rPr>
          <w:spacing w:val="-2"/>
        </w:rPr>
        <w:t>Fonds de Solidarité Nationale</w:t>
      </w:r>
      <w:r w:rsidRPr="0096155B">
        <w:rPr>
          <w:spacing w:val="-2"/>
        </w:rPr>
        <w:t>, par délégation de maîtrise d’ouvrage, a chargé l’AGETIER-MALI de la mise en œuvre du pro</w:t>
      </w:r>
      <w:r>
        <w:rPr>
          <w:spacing w:val="-2"/>
        </w:rPr>
        <w:t>jet</w:t>
      </w:r>
      <w:r w:rsidRPr="0096155B">
        <w:rPr>
          <w:spacing w:val="-2"/>
        </w:rPr>
        <w:t>.</w:t>
      </w:r>
    </w:p>
    <w:p w:rsidR="00E40CD0" w:rsidRPr="0096155B" w:rsidRDefault="00E40CD0" w:rsidP="00E40CD0">
      <w:pPr>
        <w:pStyle w:val="Paragraphedeliste"/>
        <w:tabs>
          <w:tab w:val="left" w:pos="0"/>
        </w:tabs>
        <w:suppressAutoHyphens w:val="0"/>
        <w:overflowPunct/>
        <w:autoSpaceDE/>
        <w:autoSpaceDN/>
        <w:adjustRightInd/>
        <w:ind w:left="720"/>
        <w:contextualSpacing/>
        <w:textAlignment w:val="auto"/>
        <w:rPr>
          <w:spacing w:val="-2"/>
        </w:rPr>
      </w:pPr>
    </w:p>
    <w:p w:rsidR="00E40CD0" w:rsidRPr="00E65AE9" w:rsidRDefault="00E40CD0" w:rsidP="00E40CD0">
      <w:pPr>
        <w:pStyle w:val="Paragraphedeliste"/>
        <w:numPr>
          <w:ilvl w:val="0"/>
          <w:numId w:val="1"/>
        </w:numPr>
        <w:tabs>
          <w:tab w:val="left" w:pos="0"/>
        </w:tabs>
        <w:suppressAutoHyphens w:val="0"/>
        <w:overflowPunct/>
        <w:autoSpaceDE/>
        <w:autoSpaceDN/>
        <w:adjustRightInd/>
        <w:contextualSpacing/>
        <w:textAlignment w:val="auto"/>
      </w:pPr>
      <w:r>
        <w:t xml:space="preserve">L’AGETIER-MALI sollicite des offres fermées de la part de candidats éligibles et répondant aux qualifications requises pour réaliser les travaux suivants : </w:t>
      </w:r>
      <w:r w:rsidRPr="00E65AE9">
        <w:t>travaux de réalisation de dix huit (18) forages dont neuf (9) positifs dans les villages de N'djilla et Soliko Sacko dans la commune de Kalaké, Kouna -Marka et Tiougan dans la commune de Lanfiala (région de Ségou) et Togueré -M'bocki, Edjeré, Dorwole, Andaley et Zoumbouloutan-Gouman dans la commune de Djaptodji (région de Mopti) en deux lots distincts :</w:t>
      </w:r>
    </w:p>
    <w:p w:rsidR="00E40CD0" w:rsidRPr="00E65AE9" w:rsidRDefault="00E40CD0" w:rsidP="00E40CD0">
      <w:pPr>
        <w:pStyle w:val="Paragraphedeliste"/>
        <w:numPr>
          <w:ilvl w:val="0"/>
          <w:numId w:val="2"/>
        </w:numPr>
        <w:tabs>
          <w:tab w:val="left" w:pos="0"/>
        </w:tabs>
        <w:suppressAutoHyphens w:val="0"/>
        <w:overflowPunct/>
        <w:autoSpaceDE/>
        <w:autoSpaceDN/>
        <w:adjustRightInd/>
        <w:contextualSpacing/>
        <w:textAlignment w:val="auto"/>
        <w:rPr>
          <w:b/>
          <w:spacing w:val="-2"/>
        </w:rPr>
      </w:pPr>
      <w:r w:rsidRPr="00E65AE9">
        <w:rPr>
          <w:b/>
          <w:spacing w:val="-2"/>
        </w:rPr>
        <w:t xml:space="preserve">Lot 01 : Travaux de </w:t>
      </w:r>
      <w:r w:rsidRPr="00E65AE9">
        <w:rPr>
          <w:b/>
          <w:color w:val="000000"/>
          <w:spacing w:val="-2"/>
        </w:rPr>
        <w:t xml:space="preserve">réalisation </w:t>
      </w:r>
      <w:r w:rsidRPr="00E65AE9">
        <w:rPr>
          <w:b/>
          <w:spacing w:val="-3"/>
        </w:rPr>
        <w:t>de huit (08) forages dont quatre (4) positifs dans les villages de N'djilla et Soliko Sacko dans la commune de Kalaké, Kouna -Marka et Tiougan dans la commun</w:t>
      </w:r>
      <w:r>
        <w:rPr>
          <w:b/>
          <w:spacing w:val="-3"/>
        </w:rPr>
        <w:t>e de Lanfiala (région de Ségou) ;</w:t>
      </w:r>
    </w:p>
    <w:p w:rsidR="00E40CD0" w:rsidRPr="00E65AE9" w:rsidRDefault="00E40CD0" w:rsidP="00E40CD0">
      <w:pPr>
        <w:pStyle w:val="Paragraphedeliste"/>
        <w:tabs>
          <w:tab w:val="left" w:pos="0"/>
        </w:tabs>
        <w:suppressAutoHyphens w:val="0"/>
        <w:overflowPunct/>
        <w:autoSpaceDE/>
        <w:autoSpaceDN/>
        <w:adjustRightInd/>
        <w:ind w:left="1146"/>
        <w:contextualSpacing/>
        <w:textAlignment w:val="auto"/>
        <w:rPr>
          <w:b/>
          <w:spacing w:val="-2"/>
        </w:rPr>
      </w:pPr>
    </w:p>
    <w:p w:rsidR="00E40CD0" w:rsidRPr="0013192A" w:rsidRDefault="00E40CD0" w:rsidP="00E40CD0">
      <w:pPr>
        <w:pStyle w:val="Paragraphedeliste"/>
        <w:numPr>
          <w:ilvl w:val="0"/>
          <w:numId w:val="2"/>
        </w:numPr>
        <w:tabs>
          <w:tab w:val="left" w:pos="0"/>
        </w:tabs>
        <w:suppressAutoHyphens w:val="0"/>
        <w:overflowPunct/>
        <w:autoSpaceDE/>
        <w:autoSpaceDN/>
        <w:adjustRightInd/>
        <w:contextualSpacing/>
        <w:textAlignment w:val="auto"/>
        <w:rPr>
          <w:b/>
          <w:spacing w:val="-2"/>
        </w:rPr>
      </w:pPr>
      <w:r w:rsidRPr="00E65AE9">
        <w:rPr>
          <w:b/>
          <w:spacing w:val="-2"/>
        </w:rPr>
        <w:t xml:space="preserve">Lot 02 : Travaux de </w:t>
      </w:r>
      <w:r w:rsidRPr="00E65AE9">
        <w:rPr>
          <w:b/>
          <w:color w:val="000000"/>
          <w:spacing w:val="-2"/>
        </w:rPr>
        <w:t xml:space="preserve">réalisation </w:t>
      </w:r>
      <w:r w:rsidRPr="00E65AE9">
        <w:rPr>
          <w:b/>
          <w:spacing w:val="-3"/>
        </w:rPr>
        <w:t>de dix (10) forages dont cinq (5) positifs dans les villages Togueré -M'bocki, Edjeré, Dorwole, Andaley et Zoumbouloutan-Gouman dans la commune de Djaptodji (région de Mopti)</w:t>
      </w:r>
      <w:r>
        <w:rPr>
          <w:b/>
          <w:spacing w:val="-3"/>
        </w:rPr>
        <w:t>.</w:t>
      </w:r>
    </w:p>
    <w:p w:rsidR="00E40CD0" w:rsidRDefault="00E40CD0" w:rsidP="00E40CD0">
      <w:pPr>
        <w:rPr>
          <w:rFonts w:cs="Times New Roman"/>
          <w:b/>
          <w:spacing w:val="-2"/>
        </w:rPr>
      </w:pPr>
    </w:p>
    <w:p w:rsidR="00E40CD0" w:rsidRPr="00FB5476" w:rsidRDefault="00E40CD0" w:rsidP="00E40CD0">
      <w:pPr>
        <w:rPr>
          <w:rFonts w:cs="Times New Roman"/>
          <w:b/>
          <w:spacing w:val="-2"/>
        </w:rPr>
      </w:pPr>
      <w:r w:rsidRPr="00FB5476">
        <w:rPr>
          <w:rFonts w:cs="Times New Roman"/>
          <w:b/>
          <w:spacing w:val="-2"/>
        </w:rPr>
        <w:t>Un soumissionnaire peut soumissionner pour  l’ensemble des lots et être attributaires de l’ensemble des lots</w:t>
      </w:r>
    </w:p>
    <w:p w:rsidR="00E40CD0" w:rsidRPr="0013192A" w:rsidRDefault="00E40CD0" w:rsidP="00E40CD0">
      <w:pPr>
        <w:pStyle w:val="Paragraphedeliste"/>
        <w:rPr>
          <w:b/>
          <w:spacing w:val="-2"/>
        </w:rPr>
      </w:pPr>
    </w:p>
    <w:p w:rsidR="00E40CD0" w:rsidRPr="0013192A" w:rsidRDefault="00E40CD0" w:rsidP="00E40CD0">
      <w:pPr>
        <w:pStyle w:val="Paragraphedeliste"/>
        <w:tabs>
          <w:tab w:val="left" w:pos="0"/>
        </w:tabs>
        <w:suppressAutoHyphens w:val="0"/>
        <w:overflowPunct/>
        <w:autoSpaceDE/>
        <w:autoSpaceDN/>
        <w:adjustRightInd/>
        <w:ind w:left="720"/>
        <w:contextualSpacing/>
        <w:textAlignment w:val="auto"/>
        <w:rPr>
          <w:b/>
        </w:rPr>
      </w:pPr>
      <w:r w:rsidRPr="0096155B">
        <w:t xml:space="preserve">Le délai d’exécution maximum à compter de la date indiquée sur l’ordre de service est de </w:t>
      </w:r>
      <w:r w:rsidRPr="0013192A">
        <w:rPr>
          <w:b/>
        </w:rPr>
        <w:t xml:space="preserve">Quatre vingt dix (90) jours </w:t>
      </w:r>
      <w:r w:rsidRPr="00067215">
        <w:t>pour chaque lot.</w:t>
      </w:r>
    </w:p>
    <w:p w:rsidR="00E40CD0" w:rsidRPr="0013192A" w:rsidRDefault="00E40CD0" w:rsidP="00E40CD0">
      <w:pPr>
        <w:pStyle w:val="Paragraphedeliste"/>
        <w:tabs>
          <w:tab w:val="left" w:pos="0"/>
        </w:tabs>
        <w:suppressAutoHyphens w:val="0"/>
        <w:overflowPunct/>
        <w:autoSpaceDE/>
        <w:autoSpaceDN/>
        <w:adjustRightInd/>
        <w:ind w:left="720"/>
        <w:contextualSpacing/>
        <w:textAlignment w:val="auto"/>
        <w:rPr>
          <w:b/>
        </w:rPr>
      </w:pPr>
    </w:p>
    <w:p w:rsidR="00E40CD0" w:rsidRDefault="00E40CD0" w:rsidP="00E40CD0">
      <w:pPr>
        <w:numPr>
          <w:ilvl w:val="0"/>
          <w:numId w:val="1"/>
        </w:numPr>
        <w:suppressAutoHyphens w:val="0"/>
        <w:overflowPunct/>
        <w:autoSpaceDE/>
        <w:adjustRightInd/>
        <w:spacing w:after="200"/>
        <w:ind w:left="709" w:hanging="709"/>
        <w:textAlignment w:val="auto"/>
      </w:pPr>
      <w:r>
        <w:t>La passation du Marché sera conduite par Appel d’offres ouvert tel que défini dans le Code des Marchés publics à l’article 50</w:t>
      </w:r>
      <w:r w:rsidRPr="00E65AE9">
        <w:rPr>
          <w:b/>
          <w:i/>
          <w:iCs/>
        </w:rPr>
        <w:t>,</w:t>
      </w:r>
      <w:r>
        <w:t xml:space="preserve"> et ouvert à tous les candidats éligibles. </w:t>
      </w:r>
    </w:p>
    <w:p w:rsidR="00E40CD0" w:rsidRDefault="00E40CD0" w:rsidP="00E40CD0">
      <w:pPr>
        <w:pStyle w:val="Paragraphedeliste"/>
        <w:numPr>
          <w:ilvl w:val="0"/>
          <w:numId w:val="1"/>
        </w:numPr>
        <w:tabs>
          <w:tab w:val="left" w:pos="0"/>
        </w:tabs>
        <w:suppressAutoHyphens w:val="0"/>
        <w:overflowPunct/>
        <w:autoSpaceDE/>
        <w:autoSpaceDN/>
        <w:adjustRightInd/>
        <w:contextualSpacing/>
        <w:textAlignment w:val="auto"/>
        <w:rPr>
          <w:bCs/>
        </w:rPr>
      </w:pPr>
      <w:r>
        <w:lastRenderedPageBreak/>
        <w:t>Les candidats intéressés peuvent obtenir des informations auprès</w:t>
      </w:r>
      <w:r w:rsidRPr="0096155B">
        <w:t xml:space="preserve"> de la Direction Générale de </w:t>
      </w:r>
      <w:r w:rsidRPr="00AB507B">
        <w:rPr>
          <w:bCs/>
        </w:rPr>
        <w:t>l’AGETIER-MALI</w:t>
      </w:r>
      <w:r w:rsidRPr="0096155B">
        <w:t xml:space="preserve"> et prendre connaissance des documents d’Appel d’offres </w:t>
      </w:r>
      <w:r w:rsidRPr="00AB507B">
        <w:rPr>
          <w:bCs/>
        </w:rPr>
        <w:t xml:space="preserve">à l’adresse indiquée ci-après : </w:t>
      </w:r>
      <w:r w:rsidRPr="00AB507B">
        <w:rPr>
          <w:b/>
          <w:bCs/>
        </w:rPr>
        <w:t xml:space="preserve">tél : 21 32 18 09, Email : </w:t>
      </w:r>
      <w:hyperlink r:id="rId6" w:history="1">
        <w:r w:rsidRPr="00AB507B">
          <w:rPr>
            <w:rStyle w:val="Lienhypertexte"/>
            <w:b/>
            <w:bCs/>
          </w:rPr>
          <w:t>agetier@agetiermali.com</w:t>
        </w:r>
      </w:hyperlink>
      <w:r w:rsidRPr="00AB507B">
        <w:rPr>
          <w:b/>
          <w:bCs/>
        </w:rPr>
        <w:t xml:space="preserve"> </w:t>
      </w:r>
      <w:r w:rsidRPr="00AB507B">
        <w:rPr>
          <w:bCs/>
        </w:rPr>
        <w:t xml:space="preserve">, à partir du </w:t>
      </w:r>
      <w:r w:rsidRPr="00AB507B">
        <w:rPr>
          <w:b/>
          <w:bCs/>
        </w:rPr>
        <w:t>…/…/2019 de 7 h 30 mn à 17 h 00 mn du lundi au jeudi inclus et les vendredis de 7 h 30 mn à 12 h 30 mn</w:t>
      </w:r>
      <w:r w:rsidRPr="00AB507B">
        <w:rPr>
          <w:bCs/>
        </w:rPr>
        <w:t xml:space="preserve">. </w:t>
      </w:r>
    </w:p>
    <w:p w:rsidR="00E40CD0" w:rsidRPr="00655886" w:rsidRDefault="00E40CD0" w:rsidP="00E40CD0">
      <w:pPr>
        <w:pStyle w:val="Paragraphedeliste"/>
        <w:tabs>
          <w:tab w:val="left" w:pos="0"/>
        </w:tabs>
        <w:suppressAutoHyphens w:val="0"/>
        <w:overflowPunct/>
        <w:autoSpaceDE/>
        <w:autoSpaceDN/>
        <w:adjustRightInd/>
        <w:ind w:left="720"/>
        <w:contextualSpacing/>
        <w:textAlignment w:val="auto"/>
        <w:rPr>
          <w:bCs/>
        </w:rPr>
      </w:pPr>
    </w:p>
    <w:p w:rsidR="00E40CD0" w:rsidRDefault="00E40CD0" w:rsidP="00E40CD0">
      <w:pPr>
        <w:numPr>
          <w:ilvl w:val="0"/>
          <w:numId w:val="1"/>
        </w:numPr>
        <w:tabs>
          <w:tab w:val="left" w:pos="0"/>
        </w:tabs>
        <w:suppressAutoHyphens w:val="0"/>
        <w:overflowPunct/>
        <w:autoSpaceDE/>
        <w:autoSpaceDN/>
        <w:adjustRightInd/>
        <w:spacing w:after="200"/>
        <w:contextualSpacing/>
        <w:textAlignment w:val="auto"/>
      </w:pPr>
      <w:r>
        <w:t xml:space="preserve">Les exigences en matière de qualifications sont données </w:t>
      </w:r>
      <w:r w:rsidRPr="0096155B">
        <w:t>ci-après, étant entendu que ces cr</w:t>
      </w:r>
      <w:r>
        <w:t>itères sont détaillés dans les D</w:t>
      </w:r>
      <w:r w:rsidRPr="0096155B">
        <w:t>onnées Particulières de l’Appel d’Offres.</w:t>
      </w:r>
    </w:p>
    <w:p w:rsidR="00E40CD0" w:rsidRDefault="00E40CD0" w:rsidP="00E40CD0">
      <w:pPr>
        <w:pStyle w:val="Paragraphedeliste"/>
        <w:numPr>
          <w:ilvl w:val="0"/>
          <w:numId w:val="7"/>
        </w:numPr>
        <w:tabs>
          <w:tab w:val="left" w:pos="0"/>
        </w:tabs>
        <w:suppressAutoHyphens w:val="0"/>
        <w:overflowPunct/>
        <w:autoSpaceDE/>
        <w:autoSpaceDN/>
        <w:adjustRightInd/>
        <w:spacing w:after="200"/>
        <w:contextualSpacing/>
        <w:textAlignment w:val="auto"/>
        <w:rPr>
          <w:b/>
        </w:rPr>
      </w:pPr>
      <w:r>
        <w:rPr>
          <w:b/>
        </w:rPr>
        <w:t>Capacité</w:t>
      </w:r>
      <w:r w:rsidRPr="00DD2E0C">
        <w:rPr>
          <w:b/>
        </w:rPr>
        <w:t xml:space="preserve"> technique et expérience :</w:t>
      </w:r>
    </w:p>
    <w:p w:rsidR="00E40CD0" w:rsidRPr="00DD2E0C" w:rsidRDefault="00E40CD0" w:rsidP="00E40CD0">
      <w:pPr>
        <w:pStyle w:val="Paragraphedeliste"/>
        <w:tabs>
          <w:tab w:val="left" w:pos="0"/>
        </w:tabs>
        <w:suppressAutoHyphens w:val="0"/>
        <w:overflowPunct/>
        <w:autoSpaceDE/>
        <w:autoSpaceDN/>
        <w:adjustRightInd/>
        <w:spacing w:after="200"/>
        <w:ind w:left="1920"/>
        <w:contextualSpacing/>
        <w:textAlignment w:val="auto"/>
        <w:rPr>
          <w:b/>
        </w:rPr>
      </w:pPr>
    </w:p>
    <w:p w:rsidR="00E40CD0" w:rsidRPr="00FB5476" w:rsidRDefault="00E40CD0" w:rsidP="00E40CD0">
      <w:pPr>
        <w:pStyle w:val="Paragraphedeliste"/>
        <w:numPr>
          <w:ilvl w:val="0"/>
          <w:numId w:val="4"/>
        </w:numPr>
        <w:tabs>
          <w:tab w:val="left" w:pos="0"/>
        </w:tabs>
        <w:suppressAutoHyphens w:val="0"/>
        <w:overflowPunct/>
        <w:autoSpaceDE/>
        <w:autoSpaceDN/>
        <w:adjustRightInd/>
        <w:ind w:left="1418" w:hanging="284"/>
        <w:contextualSpacing/>
        <w:textAlignment w:val="auto"/>
      </w:pPr>
      <w:r w:rsidRPr="0096155B">
        <w:t>Justifier pour chaque lot au moins deux (02) marchés similaires</w:t>
      </w:r>
      <w:r>
        <w:t xml:space="preserve"> (réalisation de forages équipés de PMH), </w:t>
      </w:r>
      <w:r w:rsidRPr="0096155B">
        <w:t>volume et de complexité comparables à ceux des travaux objet de cet appel d’offres au cours des</w:t>
      </w:r>
      <w:r>
        <w:t xml:space="preserve"> </w:t>
      </w:r>
      <w:r w:rsidRPr="00FB5476">
        <w:rPr>
          <w:b/>
        </w:rPr>
        <w:t>5 dernières</w:t>
      </w:r>
      <w:r w:rsidRPr="0096155B">
        <w:t xml:space="preserve"> </w:t>
      </w:r>
      <w:r w:rsidRPr="0096155B">
        <w:rPr>
          <w:b/>
        </w:rPr>
        <w:t>années</w:t>
      </w:r>
      <w:r>
        <w:rPr>
          <w:b/>
        </w:rPr>
        <w:t xml:space="preserve"> plus l’année en cours</w:t>
      </w:r>
      <w:r w:rsidRPr="0096155B">
        <w:rPr>
          <w:b/>
        </w:rPr>
        <w:t xml:space="preserve"> (2014; 2015; 2016; 2017; 2018 et 2019).</w:t>
      </w:r>
    </w:p>
    <w:p w:rsidR="00E40CD0" w:rsidRPr="00FB5476" w:rsidRDefault="00E40CD0" w:rsidP="00E40CD0">
      <w:pPr>
        <w:pStyle w:val="Paragraphedeliste"/>
        <w:suppressAutoHyphens w:val="0"/>
        <w:overflowPunct/>
        <w:autoSpaceDE/>
        <w:adjustRightInd/>
        <w:spacing w:after="200"/>
        <w:ind w:left="720"/>
        <w:textAlignment w:val="auto"/>
      </w:pPr>
      <w:r w:rsidRPr="00FB5476">
        <w:t>Lesdits marchés similaires doivent être prouvés par les attestations de bonne exécution, les procès -verbaux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2014 à 201</w:t>
      </w:r>
      <w:r>
        <w:t>9</w:t>
      </w:r>
      <w:r w:rsidRPr="00FB5476">
        <w:t xml:space="preserve">. </w:t>
      </w:r>
    </w:p>
    <w:p w:rsidR="00E40CD0" w:rsidRPr="007A456D" w:rsidRDefault="00E40CD0" w:rsidP="00E40CD0">
      <w:pPr>
        <w:pStyle w:val="Paragraphedeliste"/>
        <w:numPr>
          <w:ilvl w:val="0"/>
          <w:numId w:val="7"/>
        </w:numPr>
        <w:tabs>
          <w:tab w:val="left" w:pos="0"/>
          <w:tab w:val="left" w:pos="567"/>
        </w:tabs>
        <w:suppressAutoHyphens w:val="0"/>
        <w:overflowPunct/>
        <w:autoSpaceDE/>
        <w:autoSpaceDN/>
        <w:adjustRightInd/>
        <w:contextualSpacing/>
        <w:textAlignment w:val="auto"/>
        <w:rPr>
          <w:b/>
        </w:rPr>
      </w:pPr>
      <w:r w:rsidRPr="007A456D">
        <w:rPr>
          <w:b/>
        </w:rPr>
        <w:t>Capacité financière :</w:t>
      </w:r>
    </w:p>
    <w:p w:rsidR="00E40CD0" w:rsidRPr="007A456D" w:rsidRDefault="00E40CD0" w:rsidP="00E40CD0">
      <w:pPr>
        <w:pStyle w:val="Paragraphedeliste"/>
        <w:tabs>
          <w:tab w:val="left" w:pos="0"/>
          <w:tab w:val="left" w:pos="567"/>
        </w:tabs>
        <w:suppressAutoHyphens w:val="0"/>
        <w:overflowPunct/>
        <w:autoSpaceDE/>
        <w:autoSpaceDN/>
        <w:adjustRightInd/>
        <w:ind w:left="1920"/>
        <w:contextualSpacing/>
        <w:textAlignment w:val="auto"/>
        <w:rPr>
          <w:b/>
        </w:rPr>
      </w:pPr>
    </w:p>
    <w:p w:rsidR="00E40CD0" w:rsidRPr="00FB5476" w:rsidRDefault="00E40CD0" w:rsidP="00E40CD0">
      <w:pPr>
        <w:pStyle w:val="Style1"/>
        <w:tabs>
          <w:tab w:val="clear" w:pos="360"/>
        </w:tabs>
        <w:ind w:left="720" w:firstLine="0"/>
        <w:jc w:val="both"/>
        <w:rPr>
          <w:rFonts w:cs="Arial"/>
          <w:b w:val="0"/>
          <w:szCs w:val="24"/>
        </w:rPr>
      </w:pPr>
      <w:r w:rsidRPr="00FB5476">
        <w:rPr>
          <w:rFonts w:cs="Arial"/>
          <w:b w:val="0"/>
          <w:szCs w:val="24"/>
        </w:rPr>
        <w:t xml:space="preserve">Le Soumissionnaire doit fournir la preuve écrite qu’il satisfait aux exigences ci-après : </w:t>
      </w:r>
    </w:p>
    <w:p w:rsidR="00E40CD0" w:rsidRPr="00FB5476" w:rsidRDefault="00E40CD0" w:rsidP="00E40CD0">
      <w:pPr>
        <w:pStyle w:val="Paragraphedeliste"/>
        <w:numPr>
          <w:ilvl w:val="0"/>
          <w:numId w:val="4"/>
        </w:numPr>
        <w:suppressAutoHyphens w:val="0"/>
        <w:overflowPunct/>
        <w:autoSpaceDE/>
        <w:adjustRightInd/>
        <w:spacing w:after="200"/>
        <w:ind w:left="1418" w:hanging="284"/>
        <w:textAlignment w:val="auto"/>
      </w:pPr>
      <w:r w:rsidRPr="00FB5476">
        <w:t xml:space="preserve">Le chiffre d’affaires moyen en travaux de construction des années 2016, 2017 et 2018 doit être au moins égal à </w:t>
      </w:r>
      <w:r w:rsidRPr="00FB5476">
        <w:rPr>
          <w:b/>
        </w:rPr>
        <w:t>200 000 000 F CFA pour le lot 1 et 220 000 000 F CFA pour le lot 2.</w:t>
      </w:r>
      <w:r w:rsidRPr="00FB5476">
        <w:t xml:space="preserve"> Les chiffres d’affaires sont tirés des états financiers (bilans, extraits des bilans et comptes d’exploitation), certifiés par un expert-comptable agréé ou attestés par un comptable agréé inscrit à l’Ordre pour au maximum les années 2016, 2017 et 2018. Sur ces bilans, doit figurer la mention suivante apposée par le service compétent des impôts « bilans ou extrait de bilans conforme aux déclarations souscrites au service des impôts ».</w:t>
      </w:r>
    </w:p>
    <w:p w:rsidR="00E40CD0" w:rsidRDefault="00E40CD0" w:rsidP="00E40CD0">
      <w:pPr>
        <w:pStyle w:val="Paragraphedeliste"/>
        <w:numPr>
          <w:ilvl w:val="0"/>
          <w:numId w:val="4"/>
        </w:numPr>
        <w:tabs>
          <w:tab w:val="left" w:pos="1843"/>
        </w:tabs>
        <w:ind w:left="1418" w:hanging="284"/>
        <w:outlineLvl w:val="1"/>
      </w:pPr>
      <w:r w:rsidRPr="00FB5476">
        <w:t>Les soumissionnaires doivent fournir une attestation bancaire de disponibilité de fonds</w:t>
      </w:r>
      <w:r>
        <w:t xml:space="preserve"> </w:t>
      </w:r>
      <w:r w:rsidRPr="00787FC6">
        <w:rPr>
          <w:rFonts w:cs="Times New Roman"/>
        </w:rPr>
        <w:t>ou d’engagement à financer d’un montant</w:t>
      </w:r>
      <w:r w:rsidRPr="0096155B">
        <w:t>, d'au moins égal</w:t>
      </w:r>
      <w:r>
        <w:t xml:space="preserve"> à </w:t>
      </w:r>
    </w:p>
    <w:p w:rsidR="00E40CD0" w:rsidRPr="00FD4FC4" w:rsidRDefault="00E40CD0" w:rsidP="00E40CD0">
      <w:pPr>
        <w:pStyle w:val="Paragraphedeliste"/>
        <w:numPr>
          <w:ilvl w:val="0"/>
          <w:numId w:val="6"/>
        </w:numPr>
        <w:tabs>
          <w:tab w:val="left" w:pos="0"/>
        </w:tabs>
        <w:suppressAutoHyphens w:val="0"/>
        <w:overflowPunct/>
        <w:autoSpaceDE/>
        <w:autoSpaceDN/>
        <w:adjustRightInd/>
        <w:contextualSpacing/>
        <w:textAlignment w:val="auto"/>
        <w:rPr>
          <w:b/>
          <w:lang w:val="en-US"/>
        </w:rPr>
      </w:pPr>
      <w:r w:rsidRPr="00FD4FC4">
        <w:rPr>
          <w:b/>
          <w:lang w:val="en-US"/>
        </w:rPr>
        <w:t>Lot 1 : Trente millions (30 000 000) F CFA,</w:t>
      </w:r>
    </w:p>
    <w:p w:rsidR="00E40CD0" w:rsidRDefault="00E40CD0" w:rsidP="00E40CD0">
      <w:pPr>
        <w:pStyle w:val="Paragraphedeliste"/>
        <w:numPr>
          <w:ilvl w:val="0"/>
          <w:numId w:val="6"/>
        </w:numPr>
        <w:tabs>
          <w:tab w:val="left" w:pos="0"/>
        </w:tabs>
        <w:suppressAutoHyphens w:val="0"/>
        <w:overflowPunct/>
        <w:autoSpaceDE/>
        <w:autoSpaceDN/>
        <w:adjustRightInd/>
        <w:contextualSpacing/>
        <w:textAlignment w:val="auto"/>
        <w:rPr>
          <w:b/>
        </w:rPr>
      </w:pPr>
      <w:r w:rsidRPr="00FD4FC4">
        <w:rPr>
          <w:b/>
        </w:rPr>
        <w:t xml:space="preserve">Lot 2 : </w:t>
      </w:r>
      <w:r>
        <w:rPr>
          <w:b/>
        </w:rPr>
        <w:t>Trente six</w:t>
      </w:r>
      <w:r w:rsidRPr="00FD4FC4">
        <w:rPr>
          <w:b/>
        </w:rPr>
        <w:t xml:space="preserve"> millions (</w:t>
      </w:r>
      <w:r>
        <w:rPr>
          <w:b/>
        </w:rPr>
        <w:t>36</w:t>
      </w:r>
      <w:r w:rsidRPr="00FD4FC4">
        <w:rPr>
          <w:b/>
        </w:rPr>
        <w:t xml:space="preserve"> 000 000) F CFA,</w:t>
      </w:r>
    </w:p>
    <w:p w:rsidR="00E40CD0" w:rsidRDefault="00E40CD0" w:rsidP="00E40CD0">
      <w:pPr>
        <w:tabs>
          <w:tab w:val="left" w:pos="0"/>
        </w:tabs>
        <w:suppressAutoHyphens w:val="0"/>
        <w:overflowPunct/>
        <w:autoSpaceDE/>
        <w:autoSpaceDN/>
        <w:adjustRightInd/>
        <w:contextualSpacing/>
        <w:textAlignment w:val="auto"/>
        <w:rPr>
          <w:rFonts w:cs="Times New Roman"/>
          <w:b/>
        </w:rPr>
      </w:pPr>
      <w:r>
        <w:rPr>
          <w:rFonts w:cs="Times New Roman"/>
          <w:b/>
        </w:rPr>
        <w:tab/>
      </w:r>
      <w:r>
        <w:rPr>
          <w:rFonts w:cs="Times New Roman"/>
          <w:b/>
        </w:rPr>
        <w:tab/>
      </w:r>
      <w:r w:rsidRPr="00787FC6">
        <w:rPr>
          <w:rFonts w:cs="Times New Roman"/>
          <w:b/>
        </w:rPr>
        <w:t>L’attestation doit être conforme au modèle annexé au présent dossier</w:t>
      </w:r>
      <w:r>
        <w:rPr>
          <w:rFonts w:cs="Times New Roman"/>
          <w:b/>
        </w:rPr>
        <w:t>.</w:t>
      </w:r>
    </w:p>
    <w:p w:rsidR="00E40CD0" w:rsidRDefault="00E40CD0" w:rsidP="00E40CD0">
      <w:pPr>
        <w:tabs>
          <w:tab w:val="left" w:pos="0"/>
        </w:tabs>
        <w:suppressAutoHyphens w:val="0"/>
        <w:overflowPunct/>
        <w:autoSpaceDE/>
        <w:autoSpaceDN/>
        <w:adjustRightInd/>
        <w:contextualSpacing/>
        <w:textAlignment w:val="auto"/>
        <w:rPr>
          <w:rFonts w:cs="Times New Roman"/>
          <w:b/>
        </w:rPr>
      </w:pPr>
    </w:p>
    <w:p w:rsidR="00E40CD0" w:rsidRDefault="00E40CD0" w:rsidP="00E40CD0">
      <w:pPr>
        <w:tabs>
          <w:tab w:val="left" w:pos="0"/>
        </w:tabs>
        <w:suppressAutoHyphens w:val="0"/>
        <w:overflowPunct/>
        <w:autoSpaceDE/>
        <w:autoSpaceDN/>
        <w:adjustRightInd/>
        <w:contextualSpacing/>
        <w:textAlignment w:val="auto"/>
        <w:rPr>
          <w:rFonts w:cs="Times New Roman"/>
          <w:b/>
        </w:rPr>
      </w:pPr>
    </w:p>
    <w:p w:rsidR="00E40CD0" w:rsidRDefault="00E40CD0" w:rsidP="00E40CD0">
      <w:pPr>
        <w:tabs>
          <w:tab w:val="left" w:pos="0"/>
        </w:tabs>
        <w:suppressAutoHyphens w:val="0"/>
        <w:overflowPunct/>
        <w:autoSpaceDE/>
        <w:autoSpaceDN/>
        <w:adjustRightInd/>
        <w:contextualSpacing/>
        <w:textAlignment w:val="auto"/>
        <w:rPr>
          <w:rFonts w:cs="Times New Roman"/>
          <w:b/>
        </w:rPr>
      </w:pPr>
    </w:p>
    <w:p w:rsidR="00E40CD0" w:rsidRDefault="00E40CD0" w:rsidP="00E40CD0">
      <w:pPr>
        <w:tabs>
          <w:tab w:val="left" w:pos="0"/>
        </w:tabs>
        <w:suppressAutoHyphens w:val="0"/>
        <w:overflowPunct/>
        <w:autoSpaceDE/>
        <w:autoSpaceDN/>
        <w:adjustRightInd/>
        <w:contextualSpacing/>
        <w:textAlignment w:val="auto"/>
        <w:rPr>
          <w:rFonts w:cs="Times New Roman"/>
          <w:b/>
        </w:rPr>
      </w:pPr>
    </w:p>
    <w:p w:rsidR="00E40CD0" w:rsidRPr="00787FC6" w:rsidRDefault="00E40CD0" w:rsidP="00E40CD0">
      <w:pPr>
        <w:tabs>
          <w:tab w:val="left" w:pos="0"/>
        </w:tabs>
        <w:suppressAutoHyphens w:val="0"/>
        <w:overflowPunct/>
        <w:autoSpaceDE/>
        <w:autoSpaceDN/>
        <w:adjustRightInd/>
        <w:contextualSpacing/>
        <w:textAlignment w:val="auto"/>
        <w:rPr>
          <w:rFonts w:cs="Times New Roman"/>
          <w:b/>
        </w:rPr>
      </w:pPr>
    </w:p>
    <w:p w:rsidR="00E40CD0" w:rsidRPr="00DD2E0C" w:rsidRDefault="00E40CD0" w:rsidP="00E40CD0">
      <w:pPr>
        <w:pStyle w:val="Paragraphedeliste"/>
        <w:numPr>
          <w:ilvl w:val="0"/>
          <w:numId w:val="8"/>
        </w:numPr>
        <w:tabs>
          <w:tab w:val="left" w:pos="0"/>
        </w:tabs>
        <w:suppressAutoHyphens w:val="0"/>
        <w:overflowPunct/>
        <w:autoSpaceDE/>
        <w:autoSpaceDN/>
        <w:adjustRightInd/>
        <w:contextualSpacing/>
        <w:textAlignment w:val="auto"/>
        <w:rPr>
          <w:b/>
        </w:rPr>
      </w:pPr>
      <w:r w:rsidRPr="00DD2E0C">
        <w:rPr>
          <w:b/>
        </w:rPr>
        <w:t>Moyens Humains :</w:t>
      </w:r>
    </w:p>
    <w:p w:rsidR="00E40CD0" w:rsidRPr="00FD4FC4" w:rsidRDefault="00E40CD0" w:rsidP="00E40CD0">
      <w:pPr>
        <w:pStyle w:val="Paragraphedeliste"/>
        <w:tabs>
          <w:tab w:val="left" w:pos="0"/>
        </w:tabs>
        <w:suppressAutoHyphens w:val="0"/>
        <w:overflowPunct/>
        <w:autoSpaceDE/>
        <w:autoSpaceDN/>
        <w:adjustRightInd/>
        <w:ind w:left="2138"/>
        <w:contextualSpacing/>
        <w:textAlignment w:val="auto"/>
        <w:rPr>
          <w:b/>
        </w:rPr>
      </w:pPr>
    </w:p>
    <w:p w:rsidR="00E40CD0" w:rsidRPr="000B0BFC" w:rsidRDefault="00E40CD0" w:rsidP="00E40CD0">
      <w:pPr>
        <w:tabs>
          <w:tab w:val="left" w:pos="567"/>
        </w:tabs>
        <w:ind w:left="709"/>
        <w:contextualSpacing/>
        <w:rPr>
          <w:b/>
          <w:sz w:val="20"/>
        </w:rPr>
      </w:pPr>
      <w:r w:rsidRPr="00787FC6">
        <w:t xml:space="preserve">Le soumissionnaire doit prouver, documentation à l’appui, qu’il </w:t>
      </w:r>
      <w:r>
        <w:t>d</w:t>
      </w:r>
      <w:r w:rsidRPr="0096155B">
        <w:t>ispose du Personnel clé suivant </w:t>
      </w:r>
      <w:r>
        <w:t>pour chaque lot</w:t>
      </w:r>
      <w:r w:rsidRPr="0096155B">
        <w:t xml:space="preserve">: </w:t>
      </w:r>
    </w:p>
    <w:p w:rsidR="00E40CD0" w:rsidRDefault="00E40CD0" w:rsidP="00E40CD0">
      <w:pPr>
        <w:tabs>
          <w:tab w:val="left" w:pos="567"/>
        </w:tabs>
        <w:contextualSpacing/>
      </w:pPr>
    </w:p>
    <w:p w:rsidR="00E40CD0" w:rsidRDefault="00E40CD0" w:rsidP="00E40CD0">
      <w:pPr>
        <w:tabs>
          <w:tab w:val="left" w:pos="567"/>
        </w:tabs>
        <w:contextualSpacing/>
      </w:pPr>
    </w:p>
    <w:tbl>
      <w:tblPr>
        <w:tblW w:w="10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4902"/>
        <w:gridCol w:w="2044"/>
        <w:gridCol w:w="2739"/>
      </w:tblGrid>
      <w:tr w:rsidR="00E40CD0" w:rsidRPr="0096155B" w:rsidTr="00163E27">
        <w:trPr>
          <w:trHeight w:val="691"/>
          <w:jc w:val="center"/>
        </w:trPr>
        <w:tc>
          <w:tcPr>
            <w:tcW w:w="710" w:type="dxa"/>
            <w:tcBorders>
              <w:top w:val="double" w:sz="4" w:space="0" w:color="auto"/>
              <w:left w:val="double" w:sz="4" w:space="0" w:color="auto"/>
            </w:tcBorders>
            <w:vAlign w:val="center"/>
          </w:tcPr>
          <w:p w:rsidR="00E40CD0" w:rsidRPr="0096155B" w:rsidRDefault="00E40CD0" w:rsidP="00163E27">
            <w:pPr>
              <w:tabs>
                <w:tab w:val="num" w:pos="1440"/>
              </w:tabs>
              <w:spacing w:line="240" w:lineRule="atLeast"/>
              <w:ind w:right="-90"/>
              <w:jc w:val="center"/>
              <w:rPr>
                <w:i/>
              </w:rPr>
            </w:pPr>
            <w:r w:rsidRPr="0096155B">
              <w:rPr>
                <w:b/>
                <w:i/>
                <w:sz w:val="22"/>
                <w:szCs w:val="22"/>
              </w:rPr>
              <w:lastRenderedPageBreak/>
              <w:t>No.</w:t>
            </w:r>
          </w:p>
        </w:tc>
        <w:tc>
          <w:tcPr>
            <w:tcW w:w="4902" w:type="dxa"/>
            <w:tcBorders>
              <w:top w:val="double" w:sz="4" w:space="0" w:color="auto"/>
            </w:tcBorders>
            <w:vAlign w:val="center"/>
          </w:tcPr>
          <w:p w:rsidR="00E40CD0" w:rsidRPr="0096155B" w:rsidRDefault="00E40CD0" w:rsidP="00163E27">
            <w:pPr>
              <w:tabs>
                <w:tab w:val="num" w:pos="1440"/>
              </w:tabs>
              <w:spacing w:line="240" w:lineRule="atLeast"/>
              <w:ind w:right="-90"/>
              <w:jc w:val="center"/>
              <w:rPr>
                <w:i/>
              </w:rPr>
            </w:pPr>
            <w:r w:rsidRPr="0096155B">
              <w:rPr>
                <w:b/>
                <w:sz w:val="22"/>
                <w:szCs w:val="22"/>
              </w:rPr>
              <w:t>Poste</w:t>
            </w:r>
          </w:p>
        </w:tc>
        <w:tc>
          <w:tcPr>
            <w:tcW w:w="2044" w:type="dxa"/>
            <w:tcBorders>
              <w:top w:val="double" w:sz="4" w:space="0" w:color="auto"/>
            </w:tcBorders>
            <w:vAlign w:val="center"/>
          </w:tcPr>
          <w:p w:rsidR="00E40CD0" w:rsidRPr="0096155B" w:rsidRDefault="00E40CD0" w:rsidP="00163E27">
            <w:pPr>
              <w:tabs>
                <w:tab w:val="num" w:pos="1440"/>
              </w:tabs>
              <w:spacing w:line="240" w:lineRule="atLeast"/>
              <w:ind w:right="-90"/>
              <w:jc w:val="center"/>
              <w:rPr>
                <w:i/>
              </w:rPr>
            </w:pPr>
            <w:r w:rsidRPr="0096155B">
              <w:rPr>
                <w:b/>
                <w:i/>
                <w:sz w:val="22"/>
                <w:szCs w:val="22"/>
              </w:rPr>
              <w:t>Expérience globale en travaux (années)</w:t>
            </w:r>
          </w:p>
        </w:tc>
        <w:tc>
          <w:tcPr>
            <w:tcW w:w="2739" w:type="dxa"/>
            <w:tcBorders>
              <w:top w:val="double" w:sz="4" w:space="0" w:color="auto"/>
              <w:right w:val="double" w:sz="4" w:space="0" w:color="auto"/>
            </w:tcBorders>
            <w:vAlign w:val="center"/>
          </w:tcPr>
          <w:p w:rsidR="00E40CD0" w:rsidRPr="0096155B" w:rsidRDefault="00E40CD0" w:rsidP="00163E27">
            <w:pPr>
              <w:tabs>
                <w:tab w:val="num" w:pos="1440"/>
              </w:tabs>
              <w:spacing w:line="240" w:lineRule="atLeast"/>
              <w:ind w:right="-90"/>
              <w:jc w:val="center"/>
              <w:rPr>
                <w:i/>
              </w:rPr>
            </w:pPr>
            <w:r w:rsidRPr="0096155B">
              <w:rPr>
                <w:b/>
                <w:i/>
                <w:sz w:val="22"/>
                <w:szCs w:val="22"/>
              </w:rPr>
              <w:t>Nombre de projets similaires exécutés dans le poste</w:t>
            </w:r>
          </w:p>
        </w:tc>
      </w:tr>
      <w:tr w:rsidR="00E40CD0" w:rsidRPr="0096155B" w:rsidTr="00163E27">
        <w:trPr>
          <w:trHeight w:val="339"/>
          <w:jc w:val="center"/>
        </w:trPr>
        <w:tc>
          <w:tcPr>
            <w:tcW w:w="710" w:type="dxa"/>
            <w:tcBorders>
              <w:left w:val="double" w:sz="4" w:space="0" w:color="auto"/>
            </w:tcBorders>
            <w:vAlign w:val="center"/>
          </w:tcPr>
          <w:p w:rsidR="00E40CD0" w:rsidRPr="0040666F" w:rsidRDefault="00E40CD0" w:rsidP="00163E27">
            <w:pPr>
              <w:jc w:val="center"/>
              <w:rPr>
                <w:rStyle w:val="DeltaViewInsertion"/>
                <w:w w:val="0"/>
              </w:rPr>
            </w:pPr>
            <w:r w:rsidRPr="0040666F">
              <w:rPr>
                <w:rStyle w:val="DeltaViewInsertion"/>
                <w:w w:val="0"/>
                <w:sz w:val="22"/>
                <w:szCs w:val="22"/>
              </w:rPr>
              <w:t>1</w:t>
            </w:r>
          </w:p>
        </w:tc>
        <w:tc>
          <w:tcPr>
            <w:tcW w:w="4902" w:type="dxa"/>
            <w:vAlign w:val="center"/>
          </w:tcPr>
          <w:p w:rsidR="00E40CD0" w:rsidRPr="0040666F" w:rsidRDefault="00E40CD0" w:rsidP="00163E27">
            <w:pPr>
              <w:rPr>
                <w:b/>
                <w:w w:val="0"/>
              </w:rPr>
            </w:pPr>
            <w:r w:rsidRPr="0040666F">
              <w:rPr>
                <w:b/>
                <w:w w:val="0"/>
                <w:sz w:val="22"/>
                <w:szCs w:val="22"/>
              </w:rPr>
              <w:t>Directeur des travaux</w:t>
            </w:r>
          </w:p>
          <w:p w:rsidR="00E40CD0" w:rsidRPr="0040666F" w:rsidRDefault="00E40CD0" w:rsidP="00163E27">
            <w:pPr>
              <w:rPr>
                <w:rStyle w:val="DeltaViewInsertion"/>
                <w:w w:val="0"/>
              </w:rPr>
            </w:pPr>
            <w:r w:rsidRPr="0040666F">
              <w:rPr>
                <w:w w:val="0"/>
                <w:sz w:val="22"/>
                <w:szCs w:val="22"/>
              </w:rPr>
              <w:t xml:space="preserve"> Un (1) (Ingénieur hydraulicien ou hydrogéologue)</w:t>
            </w:r>
          </w:p>
        </w:tc>
        <w:tc>
          <w:tcPr>
            <w:tcW w:w="2044" w:type="dxa"/>
            <w:vAlign w:val="center"/>
          </w:tcPr>
          <w:p w:rsidR="00E40CD0" w:rsidRPr="0040666F" w:rsidRDefault="00E40CD0" w:rsidP="00163E27">
            <w:pPr>
              <w:jc w:val="center"/>
              <w:rPr>
                <w:rStyle w:val="DeltaViewInsertion"/>
                <w:w w:val="0"/>
              </w:rPr>
            </w:pPr>
            <w:r w:rsidRPr="0040666F">
              <w:rPr>
                <w:rStyle w:val="DeltaViewInsertion"/>
                <w:w w:val="0"/>
                <w:sz w:val="22"/>
                <w:szCs w:val="22"/>
              </w:rPr>
              <w:t>10 ans</w:t>
            </w:r>
          </w:p>
        </w:tc>
        <w:tc>
          <w:tcPr>
            <w:tcW w:w="2739" w:type="dxa"/>
            <w:tcBorders>
              <w:right w:val="double" w:sz="4" w:space="0" w:color="auto"/>
            </w:tcBorders>
            <w:vAlign w:val="center"/>
          </w:tcPr>
          <w:p w:rsidR="00E40CD0" w:rsidRPr="0040666F" w:rsidRDefault="00E40CD0" w:rsidP="00163E27">
            <w:pPr>
              <w:jc w:val="center"/>
              <w:rPr>
                <w:rStyle w:val="DeltaViewInsertion"/>
                <w:w w:val="0"/>
              </w:rPr>
            </w:pPr>
            <w:r w:rsidRPr="0040666F">
              <w:rPr>
                <w:rStyle w:val="DeltaViewInsertion"/>
                <w:w w:val="0"/>
                <w:sz w:val="22"/>
                <w:szCs w:val="22"/>
              </w:rPr>
              <w:t>3</w:t>
            </w:r>
          </w:p>
        </w:tc>
      </w:tr>
      <w:tr w:rsidR="00E40CD0" w:rsidRPr="0096155B" w:rsidTr="00163E27">
        <w:trPr>
          <w:trHeight w:val="156"/>
          <w:jc w:val="center"/>
        </w:trPr>
        <w:tc>
          <w:tcPr>
            <w:tcW w:w="710" w:type="dxa"/>
            <w:tcBorders>
              <w:left w:val="double" w:sz="4" w:space="0" w:color="auto"/>
            </w:tcBorders>
            <w:vAlign w:val="center"/>
          </w:tcPr>
          <w:p w:rsidR="00E40CD0" w:rsidRPr="0040666F" w:rsidRDefault="00E40CD0" w:rsidP="00163E27">
            <w:pPr>
              <w:jc w:val="center"/>
              <w:rPr>
                <w:rStyle w:val="DeltaViewInsertion"/>
                <w:w w:val="0"/>
              </w:rPr>
            </w:pPr>
            <w:r w:rsidRPr="0040666F">
              <w:rPr>
                <w:rStyle w:val="DeltaViewInsertion"/>
                <w:w w:val="0"/>
                <w:sz w:val="22"/>
                <w:szCs w:val="22"/>
              </w:rPr>
              <w:t>2</w:t>
            </w:r>
          </w:p>
        </w:tc>
        <w:tc>
          <w:tcPr>
            <w:tcW w:w="4902" w:type="dxa"/>
            <w:vAlign w:val="center"/>
          </w:tcPr>
          <w:p w:rsidR="00E40CD0" w:rsidRPr="0040666F" w:rsidRDefault="00E40CD0" w:rsidP="00163E27">
            <w:pPr>
              <w:rPr>
                <w:w w:val="0"/>
              </w:rPr>
            </w:pPr>
            <w:r w:rsidRPr="0040666F">
              <w:rPr>
                <w:w w:val="0"/>
                <w:sz w:val="22"/>
                <w:szCs w:val="22"/>
              </w:rPr>
              <w:t>Chef de chantier :</w:t>
            </w:r>
          </w:p>
          <w:p w:rsidR="00E40CD0" w:rsidRPr="0040666F" w:rsidRDefault="00E40CD0" w:rsidP="00163E27">
            <w:pPr>
              <w:rPr>
                <w:rStyle w:val="DeltaViewInsertion"/>
                <w:w w:val="0"/>
              </w:rPr>
            </w:pPr>
            <w:r w:rsidRPr="0040666F">
              <w:rPr>
                <w:w w:val="0"/>
                <w:sz w:val="22"/>
                <w:szCs w:val="22"/>
              </w:rPr>
              <w:t>Un (1) Technicien de Génie Civil, Génie Rural ou Hydraulicien</w:t>
            </w:r>
          </w:p>
        </w:tc>
        <w:tc>
          <w:tcPr>
            <w:tcW w:w="2044" w:type="dxa"/>
            <w:vAlign w:val="center"/>
          </w:tcPr>
          <w:p w:rsidR="00E40CD0" w:rsidRPr="0040666F" w:rsidRDefault="00E40CD0" w:rsidP="00163E27">
            <w:pPr>
              <w:jc w:val="center"/>
              <w:rPr>
                <w:rStyle w:val="DeltaViewInsertion"/>
                <w:w w:val="0"/>
              </w:rPr>
            </w:pPr>
            <w:r w:rsidRPr="0040666F">
              <w:rPr>
                <w:rStyle w:val="DeltaViewInsertion"/>
                <w:w w:val="0"/>
                <w:sz w:val="22"/>
                <w:szCs w:val="22"/>
              </w:rPr>
              <w:t>5 ans</w:t>
            </w:r>
          </w:p>
        </w:tc>
        <w:tc>
          <w:tcPr>
            <w:tcW w:w="2739" w:type="dxa"/>
            <w:tcBorders>
              <w:right w:val="double" w:sz="4" w:space="0" w:color="auto"/>
            </w:tcBorders>
            <w:vAlign w:val="center"/>
          </w:tcPr>
          <w:p w:rsidR="00E40CD0" w:rsidRPr="0040666F" w:rsidRDefault="00E40CD0" w:rsidP="00163E27">
            <w:pPr>
              <w:jc w:val="center"/>
              <w:rPr>
                <w:rStyle w:val="DeltaViewInsertion"/>
                <w:w w:val="0"/>
              </w:rPr>
            </w:pPr>
            <w:r w:rsidRPr="0040666F">
              <w:rPr>
                <w:rStyle w:val="DeltaViewInsertion"/>
                <w:w w:val="0"/>
                <w:sz w:val="22"/>
                <w:szCs w:val="22"/>
              </w:rPr>
              <w:t>2</w:t>
            </w:r>
          </w:p>
        </w:tc>
      </w:tr>
      <w:tr w:rsidR="00E40CD0" w:rsidRPr="0096155B" w:rsidTr="00163E27">
        <w:trPr>
          <w:trHeight w:val="156"/>
          <w:jc w:val="center"/>
        </w:trPr>
        <w:tc>
          <w:tcPr>
            <w:tcW w:w="710" w:type="dxa"/>
            <w:tcBorders>
              <w:left w:val="double" w:sz="4" w:space="0" w:color="auto"/>
            </w:tcBorders>
            <w:vAlign w:val="center"/>
          </w:tcPr>
          <w:p w:rsidR="00E40CD0" w:rsidRPr="00486569" w:rsidRDefault="00E40CD0" w:rsidP="00163E27">
            <w:pPr>
              <w:jc w:val="center"/>
            </w:pPr>
            <w:r>
              <w:t>3</w:t>
            </w:r>
          </w:p>
        </w:tc>
        <w:tc>
          <w:tcPr>
            <w:tcW w:w="4902" w:type="dxa"/>
          </w:tcPr>
          <w:p w:rsidR="00E40CD0" w:rsidRPr="00486569" w:rsidRDefault="00E40CD0" w:rsidP="00163E27">
            <w:pPr>
              <w:rPr>
                <w:b/>
              </w:rPr>
            </w:pPr>
            <w:r w:rsidRPr="00486569">
              <w:rPr>
                <w:b/>
              </w:rPr>
              <w:t xml:space="preserve">Chef d’unité de pompage </w:t>
            </w:r>
          </w:p>
          <w:p w:rsidR="00E40CD0" w:rsidRPr="00486569" w:rsidRDefault="00E40CD0" w:rsidP="00163E27">
            <w:r>
              <w:t>un (</w:t>
            </w:r>
            <w:r w:rsidRPr="00486569">
              <w:t>1) technicien géologue, hydrogéologue ou hydraulicien</w:t>
            </w:r>
          </w:p>
        </w:tc>
        <w:tc>
          <w:tcPr>
            <w:tcW w:w="2044" w:type="dxa"/>
            <w:vAlign w:val="center"/>
          </w:tcPr>
          <w:p w:rsidR="00E40CD0" w:rsidRPr="00486569" w:rsidRDefault="00E40CD0" w:rsidP="00163E27">
            <w:pPr>
              <w:jc w:val="center"/>
            </w:pPr>
            <w:r w:rsidRPr="00486569">
              <w:t>5</w:t>
            </w:r>
            <w:r>
              <w:t xml:space="preserve"> ans</w:t>
            </w:r>
          </w:p>
        </w:tc>
        <w:tc>
          <w:tcPr>
            <w:tcW w:w="2739" w:type="dxa"/>
            <w:tcBorders>
              <w:right w:val="double" w:sz="4" w:space="0" w:color="auto"/>
            </w:tcBorders>
            <w:vAlign w:val="center"/>
          </w:tcPr>
          <w:p w:rsidR="00E40CD0" w:rsidRPr="00486569" w:rsidRDefault="00E40CD0" w:rsidP="00163E27">
            <w:pPr>
              <w:jc w:val="center"/>
            </w:pPr>
            <w:r w:rsidRPr="00486569">
              <w:t>2</w:t>
            </w:r>
          </w:p>
        </w:tc>
      </w:tr>
    </w:tbl>
    <w:p w:rsidR="00E40CD0" w:rsidRDefault="00E40CD0" w:rsidP="00E40CD0">
      <w:pPr>
        <w:pStyle w:val="Paragraphedeliste"/>
        <w:tabs>
          <w:tab w:val="center" w:pos="1134"/>
        </w:tabs>
        <w:ind w:right="-90"/>
      </w:pPr>
    </w:p>
    <w:p w:rsidR="00E40CD0" w:rsidRDefault="00E40CD0" w:rsidP="00E40CD0">
      <w:pPr>
        <w:pStyle w:val="Paragraphedeliste"/>
        <w:numPr>
          <w:ilvl w:val="0"/>
          <w:numId w:val="8"/>
        </w:numPr>
        <w:tabs>
          <w:tab w:val="center" w:pos="1134"/>
        </w:tabs>
        <w:ind w:right="-90"/>
        <w:rPr>
          <w:b/>
        </w:rPr>
      </w:pPr>
      <w:r w:rsidRPr="00923E43">
        <w:rPr>
          <w:b/>
        </w:rPr>
        <w:t>Moyens Matériels :</w:t>
      </w:r>
    </w:p>
    <w:p w:rsidR="00E40CD0" w:rsidRPr="00923E43" w:rsidRDefault="00E40CD0" w:rsidP="00E40CD0">
      <w:pPr>
        <w:pStyle w:val="Paragraphedeliste"/>
        <w:tabs>
          <w:tab w:val="center" w:pos="1134"/>
        </w:tabs>
        <w:ind w:right="-90"/>
        <w:rPr>
          <w:b/>
        </w:rPr>
      </w:pPr>
    </w:p>
    <w:p w:rsidR="00E40CD0" w:rsidRDefault="00E40CD0" w:rsidP="00E40CD0">
      <w:pPr>
        <w:pStyle w:val="Paragraphedeliste"/>
        <w:numPr>
          <w:ilvl w:val="0"/>
          <w:numId w:val="5"/>
        </w:numPr>
        <w:suppressAutoHyphens w:val="0"/>
        <w:overflowPunct/>
        <w:autoSpaceDE/>
        <w:autoSpaceDN/>
        <w:adjustRightInd/>
        <w:spacing w:after="200"/>
        <w:ind w:left="1418" w:hanging="284"/>
        <w:contextualSpacing/>
        <w:textAlignment w:val="auto"/>
      </w:pPr>
      <w:r w:rsidRPr="0096155B">
        <w:t>Disposer d’un lot mini</w:t>
      </w:r>
      <w:r>
        <w:t>mum de matériels de travaux de réalisation de forage pour chaque lot</w:t>
      </w:r>
      <w:r w:rsidRPr="0096155B">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7797"/>
        <w:gridCol w:w="1086"/>
      </w:tblGrid>
      <w:tr w:rsidR="00E40CD0" w:rsidRPr="00085EF0" w:rsidTr="00163E27">
        <w:tc>
          <w:tcPr>
            <w:tcW w:w="567" w:type="dxa"/>
            <w:tcBorders>
              <w:top w:val="single" w:sz="12" w:space="0" w:color="auto"/>
              <w:left w:val="single" w:sz="12" w:space="0" w:color="auto"/>
              <w:bottom w:val="single" w:sz="12" w:space="0" w:color="auto"/>
              <w:right w:val="single" w:sz="12" w:space="0" w:color="auto"/>
            </w:tcBorders>
            <w:vAlign w:val="center"/>
          </w:tcPr>
          <w:p w:rsidR="00E40CD0" w:rsidRPr="00085EF0" w:rsidRDefault="00E40CD0" w:rsidP="00163E27">
            <w:pPr>
              <w:jc w:val="center"/>
              <w:rPr>
                <w:b/>
              </w:rPr>
            </w:pPr>
            <w:r w:rsidRPr="00085EF0">
              <w:rPr>
                <w:b/>
                <w:sz w:val="22"/>
                <w:szCs w:val="22"/>
              </w:rPr>
              <w:t>No.</w:t>
            </w:r>
          </w:p>
        </w:tc>
        <w:tc>
          <w:tcPr>
            <w:tcW w:w="7797" w:type="dxa"/>
            <w:tcBorders>
              <w:top w:val="single" w:sz="12" w:space="0" w:color="auto"/>
              <w:left w:val="single" w:sz="12" w:space="0" w:color="auto"/>
              <w:bottom w:val="single" w:sz="12" w:space="0" w:color="auto"/>
              <w:right w:val="single" w:sz="12" w:space="0" w:color="auto"/>
            </w:tcBorders>
            <w:vAlign w:val="center"/>
          </w:tcPr>
          <w:p w:rsidR="00E40CD0" w:rsidRPr="00085EF0" w:rsidRDefault="00E40CD0" w:rsidP="00163E27">
            <w:pPr>
              <w:jc w:val="center"/>
              <w:rPr>
                <w:b/>
              </w:rPr>
            </w:pPr>
            <w:r w:rsidRPr="00085EF0">
              <w:rPr>
                <w:b/>
                <w:sz w:val="22"/>
                <w:szCs w:val="22"/>
              </w:rPr>
              <w:t>Type et caractéristiques du matériel</w:t>
            </w:r>
          </w:p>
        </w:tc>
        <w:tc>
          <w:tcPr>
            <w:tcW w:w="1086" w:type="dxa"/>
            <w:tcBorders>
              <w:top w:val="single" w:sz="12" w:space="0" w:color="auto"/>
              <w:left w:val="single" w:sz="12" w:space="0" w:color="auto"/>
              <w:bottom w:val="single" w:sz="12" w:space="0" w:color="auto"/>
              <w:right w:val="single" w:sz="12" w:space="0" w:color="auto"/>
            </w:tcBorders>
            <w:vAlign w:val="center"/>
          </w:tcPr>
          <w:p w:rsidR="00E40CD0" w:rsidRPr="00085EF0" w:rsidRDefault="00E40CD0" w:rsidP="00163E27">
            <w:pPr>
              <w:jc w:val="center"/>
              <w:rPr>
                <w:b/>
              </w:rPr>
            </w:pPr>
            <w:r w:rsidRPr="00085EF0">
              <w:rPr>
                <w:b/>
                <w:sz w:val="22"/>
                <w:szCs w:val="22"/>
              </w:rPr>
              <w:t>Nombre minimum requis</w:t>
            </w:r>
          </w:p>
        </w:tc>
      </w:tr>
      <w:tr w:rsidR="00E40CD0" w:rsidRPr="00085EF0" w:rsidTr="00163E27">
        <w:tc>
          <w:tcPr>
            <w:tcW w:w="567" w:type="dxa"/>
            <w:tcBorders>
              <w:top w:val="single" w:sz="12" w:space="0" w:color="auto"/>
              <w:left w:val="single" w:sz="6" w:space="0" w:color="auto"/>
              <w:bottom w:val="single" w:sz="6" w:space="0" w:color="auto"/>
              <w:right w:val="single" w:sz="6" w:space="0" w:color="auto"/>
            </w:tcBorders>
            <w:vAlign w:val="center"/>
          </w:tcPr>
          <w:p w:rsidR="00E40CD0" w:rsidRPr="00085EF0" w:rsidRDefault="00E40CD0" w:rsidP="00163E27">
            <w:pPr>
              <w:pStyle w:val="En-tte"/>
              <w:jc w:val="center"/>
            </w:pPr>
            <w:r w:rsidRPr="00085EF0">
              <w:t>1</w:t>
            </w:r>
          </w:p>
        </w:tc>
        <w:tc>
          <w:tcPr>
            <w:tcW w:w="7797" w:type="dxa"/>
            <w:tcBorders>
              <w:top w:val="single" w:sz="12" w:space="0" w:color="auto"/>
              <w:left w:val="single" w:sz="6" w:space="0" w:color="auto"/>
              <w:bottom w:val="single" w:sz="6" w:space="0" w:color="auto"/>
              <w:right w:val="single" w:sz="6" w:space="0" w:color="auto"/>
            </w:tcBorders>
          </w:tcPr>
          <w:p w:rsidR="00E40CD0" w:rsidRPr="00085EF0" w:rsidRDefault="00E40CD0" w:rsidP="00163E27">
            <w:pPr>
              <w:rPr>
                <w:rFonts w:ascii="Arial" w:hAnsi="Arial"/>
                <w:sz w:val="20"/>
              </w:rPr>
            </w:pPr>
            <w:r w:rsidRPr="00085EF0">
              <w:t>Un atelier de forages : appareil principal rotary conventionnel fonctionnant à l’air, à l’eau, à la mousse, et à la boue est obligatoire. La capacité de l’atelier doit être telle qu’une profondeur minimale de 200 m puisse être atteinte </w:t>
            </w:r>
          </w:p>
        </w:tc>
        <w:tc>
          <w:tcPr>
            <w:tcW w:w="1086" w:type="dxa"/>
            <w:tcBorders>
              <w:top w:val="single" w:sz="12" w:space="0" w:color="auto"/>
              <w:left w:val="single" w:sz="6" w:space="0" w:color="auto"/>
              <w:bottom w:val="single" w:sz="6" w:space="0" w:color="auto"/>
              <w:right w:val="single" w:sz="6" w:space="0" w:color="auto"/>
            </w:tcBorders>
            <w:vAlign w:val="center"/>
          </w:tcPr>
          <w:p w:rsidR="00E40CD0" w:rsidRPr="00085EF0" w:rsidRDefault="00E40CD0" w:rsidP="00163E27">
            <w:pPr>
              <w:jc w:val="center"/>
              <w:rPr>
                <w:rFonts w:cs="Times New Roman"/>
                <w:sz w:val="20"/>
              </w:rPr>
            </w:pPr>
            <w:r w:rsidRPr="00085EF0">
              <w:rPr>
                <w:rFonts w:cs="Times New Roman"/>
                <w:sz w:val="20"/>
              </w:rPr>
              <w:t>1</w:t>
            </w:r>
          </w:p>
        </w:tc>
      </w:tr>
      <w:tr w:rsidR="00E40CD0" w:rsidRPr="00085EF0" w:rsidTr="00163E27">
        <w:tc>
          <w:tcPr>
            <w:tcW w:w="567" w:type="dxa"/>
            <w:tcBorders>
              <w:top w:val="single" w:sz="6" w:space="0" w:color="auto"/>
              <w:left w:val="single" w:sz="6" w:space="0" w:color="auto"/>
              <w:bottom w:val="single" w:sz="6" w:space="0" w:color="auto"/>
              <w:right w:val="single" w:sz="6" w:space="0" w:color="auto"/>
            </w:tcBorders>
            <w:vAlign w:val="center"/>
          </w:tcPr>
          <w:p w:rsidR="00E40CD0" w:rsidRPr="00085EF0" w:rsidRDefault="00E40CD0" w:rsidP="00163E27">
            <w:pPr>
              <w:jc w:val="center"/>
              <w:rPr>
                <w:i/>
                <w:sz w:val="20"/>
              </w:rPr>
            </w:pPr>
            <w:r w:rsidRPr="00085EF0">
              <w:rPr>
                <w:i/>
                <w:sz w:val="20"/>
              </w:rPr>
              <w:t>2</w:t>
            </w:r>
          </w:p>
        </w:tc>
        <w:tc>
          <w:tcPr>
            <w:tcW w:w="7797" w:type="dxa"/>
            <w:tcBorders>
              <w:top w:val="single" w:sz="6" w:space="0" w:color="auto"/>
              <w:left w:val="single" w:sz="6" w:space="0" w:color="auto"/>
              <w:bottom w:val="single" w:sz="6" w:space="0" w:color="auto"/>
              <w:right w:val="single" w:sz="6" w:space="0" w:color="auto"/>
            </w:tcBorders>
          </w:tcPr>
          <w:p w:rsidR="00E40CD0" w:rsidRPr="00085EF0" w:rsidRDefault="00E40CD0" w:rsidP="00163E27">
            <w:pPr>
              <w:rPr>
                <w:rFonts w:ascii="Arial" w:hAnsi="Arial"/>
                <w:i/>
                <w:sz w:val="20"/>
              </w:rPr>
            </w:pPr>
            <w:r w:rsidRPr="00085EF0">
              <w:t>Un compresseur, présentant les performances minimales pouvant atteindre la profondeur d’exécution de 200 m</w:t>
            </w:r>
          </w:p>
        </w:tc>
        <w:tc>
          <w:tcPr>
            <w:tcW w:w="1086" w:type="dxa"/>
            <w:tcBorders>
              <w:top w:val="single" w:sz="6" w:space="0" w:color="auto"/>
              <w:left w:val="single" w:sz="6" w:space="0" w:color="auto"/>
              <w:bottom w:val="single" w:sz="6" w:space="0" w:color="auto"/>
              <w:right w:val="single" w:sz="6" w:space="0" w:color="auto"/>
            </w:tcBorders>
            <w:vAlign w:val="center"/>
          </w:tcPr>
          <w:p w:rsidR="00E40CD0" w:rsidRPr="00085EF0" w:rsidRDefault="00E40CD0" w:rsidP="00163E27">
            <w:pPr>
              <w:jc w:val="center"/>
              <w:rPr>
                <w:rFonts w:cs="Times New Roman"/>
                <w:i/>
                <w:sz w:val="20"/>
              </w:rPr>
            </w:pPr>
            <w:r w:rsidRPr="00085EF0">
              <w:rPr>
                <w:rFonts w:cs="Times New Roman"/>
                <w:i/>
                <w:sz w:val="20"/>
              </w:rPr>
              <w:t>1</w:t>
            </w:r>
          </w:p>
        </w:tc>
      </w:tr>
      <w:tr w:rsidR="00E40CD0" w:rsidRPr="00085EF0" w:rsidTr="00163E27">
        <w:tc>
          <w:tcPr>
            <w:tcW w:w="567" w:type="dxa"/>
            <w:tcBorders>
              <w:top w:val="single" w:sz="6" w:space="0" w:color="auto"/>
              <w:left w:val="single" w:sz="6" w:space="0" w:color="auto"/>
              <w:bottom w:val="single" w:sz="6" w:space="0" w:color="auto"/>
              <w:right w:val="single" w:sz="6" w:space="0" w:color="auto"/>
            </w:tcBorders>
            <w:vAlign w:val="center"/>
          </w:tcPr>
          <w:p w:rsidR="00E40CD0" w:rsidRPr="00085EF0" w:rsidRDefault="00E40CD0" w:rsidP="00163E27">
            <w:pPr>
              <w:jc w:val="center"/>
              <w:rPr>
                <w:i/>
                <w:sz w:val="20"/>
              </w:rPr>
            </w:pPr>
            <w:r w:rsidRPr="00085EF0">
              <w:rPr>
                <w:i/>
                <w:sz w:val="20"/>
              </w:rPr>
              <w:t>3</w:t>
            </w:r>
          </w:p>
        </w:tc>
        <w:tc>
          <w:tcPr>
            <w:tcW w:w="7797" w:type="dxa"/>
            <w:tcBorders>
              <w:top w:val="single" w:sz="6" w:space="0" w:color="auto"/>
              <w:left w:val="single" w:sz="6" w:space="0" w:color="auto"/>
              <w:bottom w:val="single" w:sz="6" w:space="0" w:color="auto"/>
              <w:right w:val="single" w:sz="6" w:space="0" w:color="auto"/>
            </w:tcBorders>
          </w:tcPr>
          <w:p w:rsidR="00E40CD0" w:rsidRPr="00085EF0" w:rsidRDefault="00E40CD0" w:rsidP="00163E27">
            <w:pPr>
              <w:rPr>
                <w:rFonts w:ascii="Arial" w:hAnsi="Arial"/>
                <w:i/>
                <w:sz w:val="20"/>
              </w:rPr>
            </w:pPr>
            <w:r w:rsidRPr="00085EF0">
              <w:t>Un véhicule poids lourd équipé d’une grue (charge utile) et un (01) véhicule de liaison (4 x 4) équipé de moyen radio </w:t>
            </w:r>
          </w:p>
        </w:tc>
        <w:tc>
          <w:tcPr>
            <w:tcW w:w="1086" w:type="dxa"/>
            <w:tcBorders>
              <w:top w:val="single" w:sz="6" w:space="0" w:color="auto"/>
              <w:left w:val="single" w:sz="6" w:space="0" w:color="auto"/>
              <w:bottom w:val="single" w:sz="6" w:space="0" w:color="auto"/>
              <w:right w:val="single" w:sz="6" w:space="0" w:color="auto"/>
            </w:tcBorders>
            <w:vAlign w:val="center"/>
          </w:tcPr>
          <w:p w:rsidR="00E40CD0" w:rsidRPr="00085EF0" w:rsidRDefault="00E40CD0" w:rsidP="00163E27">
            <w:pPr>
              <w:jc w:val="center"/>
              <w:rPr>
                <w:rFonts w:cs="Times New Roman"/>
                <w:i/>
                <w:sz w:val="20"/>
              </w:rPr>
            </w:pPr>
            <w:r w:rsidRPr="00085EF0">
              <w:rPr>
                <w:rFonts w:cs="Times New Roman"/>
                <w:i/>
                <w:sz w:val="20"/>
              </w:rPr>
              <w:t>1</w:t>
            </w:r>
          </w:p>
        </w:tc>
      </w:tr>
      <w:tr w:rsidR="00E40CD0" w:rsidRPr="00085EF0" w:rsidTr="00163E27">
        <w:tc>
          <w:tcPr>
            <w:tcW w:w="567" w:type="dxa"/>
            <w:tcBorders>
              <w:top w:val="single" w:sz="6" w:space="0" w:color="auto"/>
              <w:left w:val="single" w:sz="6" w:space="0" w:color="auto"/>
              <w:bottom w:val="single" w:sz="6" w:space="0" w:color="auto"/>
              <w:right w:val="single" w:sz="6" w:space="0" w:color="auto"/>
            </w:tcBorders>
            <w:vAlign w:val="center"/>
          </w:tcPr>
          <w:p w:rsidR="00E40CD0" w:rsidRPr="00085EF0" w:rsidRDefault="00E40CD0" w:rsidP="00163E27">
            <w:pPr>
              <w:jc w:val="center"/>
              <w:rPr>
                <w:i/>
                <w:sz w:val="20"/>
              </w:rPr>
            </w:pPr>
            <w:r w:rsidRPr="00085EF0">
              <w:rPr>
                <w:i/>
                <w:sz w:val="20"/>
              </w:rPr>
              <w:t>4</w:t>
            </w:r>
          </w:p>
        </w:tc>
        <w:tc>
          <w:tcPr>
            <w:tcW w:w="7797" w:type="dxa"/>
            <w:tcBorders>
              <w:top w:val="single" w:sz="6" w:space="0" w:color="auto"/>
              <w:left w:val="single" w:sz="6" w:space="0" w:color="auto"/>
              <w:bottom w:val="single" w:sz="6" w:space="0" w:color="auto"/>
              <w:right w:val="single" w:sz="6" w:space="0" w:color="auto"/>
            </w:tcBorders>
          </w:tcPr>
          <w:p w:rsidR="00E40CD0" w:rsidRPr="00085EF0" w:rsidRDefault="00E40CD0" w:rsidP="00163E27">
            <w:pPr>
              <w:rPr>
                <w:rFonts w:ascii="Arial" w:hAnsi="Arial"/>
                <w:i/>
                <w:sz w:val="20"/>
              </w:rPr>
            </w:pPr>
            <w:r w:rsidRPr="00085EF0">
              <w:t>Une citerne à eau  de 10 m3</w:t>
            </w:r>
          </w:p>
        </w:tc>
        <w:tc>
          <w:tcPr>
            <w:tcW w:w="1086" w:type="dxa"/>
            <w:tcBorders>
              <w:top w:val="single" w:sz="6" w:space="0" w:color="auto"/>
              <w:left w:val="single" w:sz="6" w:space="0" w:color="auto"/>
              <w:bottom w:val="single" w:sz="6" w:space="0" w:color="auto"/>
              <w:right w:val="single" w:sz="6" w:space="0" w:color="auto"/>
            </w:tcBorders>
            <w:vAlign w:val="center"/>
          </w:tcPr>
          <w:p w:rsidR="00E40CD0" w:rsidRPr="00085EF0" w:rsidRDefault="00E40CD0" w:rsidP="00163E27">
            <w:pPr>
              <w:jc w:val="center"/>
              <w:rPr>
                <w:rFonts w:cs="Times New Roman"/>
                <w:i/>
                <w:sz w:val="20"/>
              </w:rPr>
            </w:pPr>
            <w:r w:rsidRPr="00085EF0">
              <w:rPr>
                <w:rFonts w:cs="Times New Roman"/>
                <w:i/>
                <w:sz w:val="20"/>
              </w:rPr>
              <w:t>1</w:t>
            </w:r>
          </w:p>
        </w:tc>
      </w:tr>
      <w:tr w:rsidR="00E40CD0" w:rsidRPr="00085EF0" w:rsidTr="00163E27">
        <w:tc>
          <w:tcPr>
            <w:tcW w:w="567" w:type="dxa"/>
            <w:tcBorders>
              <w:top w:val="single" w:sz="6" w:space="0" w:color="auto"/>
              <w:left w:val="single" w:sz="6" w:space="0" w:color="auto"/>
              <w:bottom w:val="single" w:sz="6" w:space="0" w:color="auto"/>
              <w:right w:val="single" w:sz="6" w:space="0" w:color="auto"/>
            </w:tcBorders>
            <w:vAlign w:val="center"/>
          </w:tcPr>
          <w:p w:rsidR="00E40CD0" w:rsidRPr="00085EF0" w:rsidRDefault="00E40CD0" w:rsidP="00163E27">
            <w:pPr>
              <w:jc w:val="center"/>
              <w:rPr>
                <w:i/>
                <w:sz w:val="20"/>
              </w:rPr>
            </w:pPr>
            <w:r w:rsidRPr="00085EF0">
              <w:rPr>
                <w:i/>
                <w:sz w:val="20"/>
              </w:rPr>
              <w:t>5</w:t>
            </w:r>
          </w:p>
        </w:tc>
        <w:tc>
          <w:tcPr>
            <w:tcW w:w="7797" w:type="dxa"/>
            <w:tcBorders>
              <w:top w:val="single" w:sz="6" w:space="0" w:color="auto"/>
              <w:left w:val="single" w:sz="6" w:space="0" w:color="auto"/>
              <w:bottom w:val="single" w:sz="6" w:space="0" w:color="auto"/>
              <w:right w:val="single" w:sz="6" w:space="0" w:color="auto"/>
            </w:tcBorders>
          </w:tcPr>
          <w:p w:rsidR="00E40CD0" w:rsidRPr="00085EF0" w:rsidRDefault="00E40CD0" w:rsidP="00163E27">
            <w:pPr>
              <w:rPr>
                <w:rFonts w:ascii="Arial" w:hAnsi="Arial"/>
                <w:i/>
                <w:sz w:val="20"/>
              </w:rPr>
            </w:pPr>
            <w:r w:rsidRPr="00085EF0">
              <w:t>Une  citerne à gasoil de 5 m3</w:t>
            </w:r>
          </w:p>
        </w:tc>
        <w:tc>
          <w:tcPr>
            <w:tcW w:w="1086" w:type="dxa"/>
            <w:tcBorders>
              <w:top w:val="single" w:sz="6" w:space="0" w:color="auto"/>
              <w:left w:val="single" w:sz="6" w:space="0" w:color="auto"/>
              <w:bottom w:val="single" w:sz="6" w:space="0" w:color="auto"/>
              <w:right w:val="single" w:sz="6" w:space="0" w:color="auto"/>
            </w:tcBorders>
            <w:vAlign w:val="center"/>
          </w:tcPr>
          <w:p w:rsidR="00E40CD0" w:rsidRPr="00085EF0" w:rsidRDefault="00E40CD0" w:rsidP="00163E27">
            <w:pPr>
              <w:jc w:val="center"/>
              <w:rPr>
                <w:rFonts w:cs="Times New Roman"/>
                <w:i/>
                <w:sz w:val="20"/>
              </w:rPr>
            </w:pPr>
            <w:r w:rsidRPr="00085EF0">
              <w:rPr>
                <w:rFonts w:cs="Times New Roman"/>
                <w:i/>
                <w:sz w:val="20"/>
              </w:rPr>
              <w:t>1</w:t>
            </w:r>
          </w:p>
        </w:tc>
      </w:tr>
      <w:tr w:rsidR="00E40CD0" w:rsidRPr="00085EF0" w:rsidTr="00163E27">
        <w:tc>
          <w:tcPr>
            <w:tcW w:w="567" w:type="dxa"/>
            <w:tcBorders>
              <w:top w:val="single" w:sz="6" w:space="0" w:color="auto"/>
              <w:left w:val="single" w:sz="6" w:space="0" w:color="auto"/>
              <w:bottom w:val="single" w:sz="6" w:space="0" w:color="auto"/>
              <w:right w:val="single" w:sz="6" w:space="0" w:color="auto"/>
            </w:tcBorders>
            <w:vAlign w:val="center"/>
          </w:tcPr>
          <w:p w:rsidR="00E40CD0" w:rsidRPr="00085EF0" w:rsidRDefault="00E40CD0" w:rsidP="00163E27">
            <w:pPr>
              <w:jc w:val="center"/>
              <w:rPr>
                <w:i/>
              </w:rPr>
            </w:pPr>
            <w:r w:rsidRPr="00085EF0">
              <w:rPr>
                <w:i/>
              </w:rPr>
              <w:t>6</w:t>
            </w:r>
          </w:p>
        </w:tc>
        <w:tc>
          <w:tcPr>
            <w:tcW w:w="7797" w:type="dxa"/>
            <w:tcBorders>
              <w:top w:val="single" w:sz="6" w:space="0" w:color="auto"/>
              <w:left w:val="single" w:sz="6" w:space="0" w:color="auto"/>
              <w:bottom w:val="single" w:sz="6" w:space="0" w:color="auto"/>
              <w:right w:val="single" w:sz="6" w:space="0" w:color="auto"/>
            </w:tcBorders>
          </w:tcPr>
          <w:p w:rsidR="00E40CD0" w:rsidRPr="00085EF0" w:rsidRDefault="00E40CD0" w:rsidP="00163E27">
            <w:pPr>
              <w:rPr>
                <w:i/>
              </w:rPr>
            </w:pPr>
            <w:r w:rsidRPr="00085EF0">
              <w:t>Un matériel d’essai de pompage</w:t>
            </w:r>
          </w:p>
        </w:tc>
        <w:tc>
          <w:tcPr>
            <w:tcW w:w="1086" w:type="dxa"/>
            <w:tcBorders>
              <w:top w:val="single" w:sz="6" w:space="0" w:color="auto"/>
              <w:left w:val="single" w:sz="6" w:space="0" w:color="auto"/>
              <w:bottom w:val="single" w:sz="6" w:space="0" w:color="auto"/>
              <w:right w:val="single" w:sz="6" w:space="0" w:color="auto"/>
            </w:tcBorders>
            <w:vAlign w:val="center"/>
          </w:tcPr>
          <w:p w:rsidR="00E40CD0" w:rsidRPr="00085EF0" w:rsidRDefault="00E40CD0" w:rsidP="00163E27">
            <w:pPr>
              <w:jc w:val="center"/>
              <w:rPr>
                <w:rFonts w:cs="Times New Roman"/>
                <w:i/>
              </w:rPr>
            </w:pPr>
            <w:r w:rsidRPr="00085EF0">
              <w:rPr>
                <w:rFonts w:cs="Times New Roman"/>
                <w:i/>
              </w:rPr>
              <w:t>1</w:t>
            </w:r>
          </w:p>
        </w:tc>
      </w:tr>
      <w:tr w:rsidR="00E40CD0" w:rsidRPr="00085EF0" w:rsidTr="00163E27">
        <w:tc>
          <w:tcPr>
            <w:tcW w:w="567" w:type="dxa"/>
            <w:tcBorders>
              <w:top w:val="single" w:sz="6" w:space="0" w:color="auto"/>
              <w:left w:val="single" w:sz="6" w:space="0" w:color="auto"/>
              <w:bottom w:val="single" w:sz="6" w:space="0" w:color="auto"/>
              <w:right w:val="single" w:sz="6" w:space="0" w:color="auto"/>
            </w:tcBorders>
            <w:vAlign w:val="center"/>
          </w:tcPr>
          <w:p w:rsidR="00E40CD0" w:rsidRPr="00085EF0" w:rsidRDefault="00E40CD0" w:rsidP="00163E27">
            <w:pPr>
              <w:jc w:val="center"/>
              <w:rPr>
                <w:i/>
              </w:rPr>
            </w:pPr>
            <w:r w:rsidRPr="00085EF0">
              <w:rPr>
                <w:i/>
              </w:rPr>
              <w:t>7</w:t>
            </w:r>
          </w:p>
        </w:tc>
        <w:tc>
          <w:tcPr>
            <w:tcW w:w="7797" w:type="dxa"/>
            <w:tcBorders>
              <w:top w:val="single" w:sz="6" w:space="0" w:color="auto"/>
              <w:left w:val="single" w:sz="6" w:space="0" w:color="auto"/>
              <w:bottom w:val="single" w:sz="6" w:space="0" w:color="auto"/>
              <w:right w:val="single" w:sz="6" w:space="0" w:color="auto"/>
            </w:tcBorders>
          </w:tcPr>
          <w:p w:rsidR="00E40CD0" w:rsidRPr="00085EF0" w:rsidRDefault="00E40CD0" w:rsidP="00163E27">
            <w:pPr>
              <w:rPr>
                <w:i/>
              </w:rPr>
            </w:pPr>
            <w:r w:rsidRPr="00085EF0">
              <w:t>Un atelier complet de soufflage à l’air lift comprenant un compresseur (capacité du compresseur à indiquer), une colonne rigide en tuyaux galvanisés de 4 pouces en longueur de 3 à 6 m ou en polyéthylène pour une longueur totale d’au moins 200 mètres </w:t>
            </w:r>
          </w:p>
        </w:tc>
        <w:tc>
          <w:tcPr>
            <w:tcW w:w="1086" w:type="dxa"/>
            <w:tcBorders>
              <w:top w:val="single" w:sz="6" w:space="0" w:color="auto"/>
              <w:left w:val="single" w:sz="6" w:space="0" w:color="auto"/>
              <w:bottom w:val="single" w:sz="6" w:space="0" w:color="auto"/>
              <w:right w:val="single" w:sz="6" w:space="0" w:color="auto"/>
            </w:tcBorders>
            <w:vAlign w:val="center"/>
          </w:tcPr>
          <w:p w:rsidR="00E40CD0" w:rsidRPr="00085EF0" w:rsidRDefault="00E40CD0" w:rsidP="00163E27">
            <w:pPr>
              <w:jc w:val="center"/>
              <w:rPr>
                <w:rFonts w:cs="Times New Roman"/>
                <w:i/>
              </w:rPr>
            </w:pPr>
            <w:r w:rsidRPr="00085EF0">
              <w:rPr>
                <w:rFonts w:cs="Times New Roman"/>
                <w:i/>
              </w:rPr>
              <w:t>1</w:t>
            </w:r>
          </w:p>
        </w:tc>
      </w:tr>
    </w:tbl>
    <w:p w:rsidR="00E40CD0" w:rsidRDefault="00E40CD0" w:rsidP="00E40CD0">
      <w:pPr>
        <w:pStyle w:val="Paragraphedeliste"/>
        <w:suppressAutoHyphens w:val="0"/>
        <w:overflowPunct/>
        <w:autoSpaceDE/>
        <w:autoSpaceDN/>
        <w:adjustRightInd/>
        <w:spacing w:after="200"/>
        <w:ind w:left="1418"/>
        <w:contextualSpacing/>
        <w:textAlignment w:val="auto"/>
      </w:pPr>
    </w:p>
    <w:p w:rsidR="00E40CD0" w:rsidRPr="006A3C6A" w:rsidRDefault="00E40CD0" w:rsidP="00E40CD0">
      <w:pPr>
        <w:pStyle w:val="Paragraphedeliste"/>
        <w:numPr>
          <w:ilvl w:val="0"/>
          <w:numId w:val="1"/>
        </w:numPr>
        <w:tabs>
          <w:tab w:val="left" w:pos="0"/>
        </w:tabs>
        <w:suppressAutoHyphens w:val="0"/>
        <w:overflowPunct/>
        <w:autoSpaceDE/>
        <w:autoSpaceDN/>
        <w:adjustRightInd/>
        <w:contextualSpacing/>
        <w:textAlignment w:val="auto"/>
      </w:pPr>
      <w:r>
        <w:t>Les candidats intéressés peuvent consulter gratuitement le dossier d’Appel d’offres complet ou le retirer à titre onéreux contre paiement d’une somme non remboursable d</w:t>
      </w:r>
      <w:r w:rsidRPr="003B42C5">
        <w:rPr>
          <w:b/>
        </w:rPr>
        <w:t>e  cinquante mille (50 00</w:t>
      </w:r>
      <w:r w:rsidRPr="00AB507B">
        <w:rPr>
          <w:b/>
        </w:rPr>
        <w:t>0</w:t>
      </w:r>
      <w:r w:rsidRPr="003B42C5">
        <w:rPr>
          <w:b/>
        </w:rPr>
        <w:t>) F C</w:t>
      </w:r>
      <w:r w:rsidRPr="00AB507B">
        <w:rPr>
          <w:b/>
        </w:rPr>
        <w:t>FA</w:t>
      </w:r>
      <w:r w:rsidRPr="0096155B">
        <w:t xml:space="preserve"> en espèces, par chèque certifié ou dépôt direct sur le compte : COR AGETIER RESERVE, Banque BNDA / Agence de Ségou, N°600011200008, Code Banque – ML043 ; Code Guichet – 06 600 ; RIB – 26 ou par virement automatique dans une monnaie librement convertible au code SWIFT (BNDAMLBAXXXX) de la BNDA à partir d</w:t>
      </w:r>
      <w:r w:rsidRPr="003B42C5">
        <w:rPr>
          <w:b/>
          <w:bCs/>
        </w:rPr>
        <w:t>u …/…/2019</w:t>
      </w:r>
      <w:r w:rsidRPr="003B42C5">
        <w:rPr>
          <w:b/>
          <w:bCs/>
          <w:i/>
          <w:iCs/>
        </w:rPr>
        <w:t>.</w:t>
      </w:r>
      <w:r w:rsidRPr="00AB507B">
        <w:rPr>
          <w:b/>
          <w:bCs/>
        </w:rPr>
        <w:t xml:space="preserve"> </w:t>
      </w:r>
      <w:r w:rsidRPr="00AB507B">
        <w:rPr>
          <w:i/>
          <w:iCs/>
        </w:rPr>
        <w:t xml:space="preserve"> </w:t>
      </w:r>
      <w:r>
        <w:t>à l’adresse mentionnée ci-aprè</w:t>
      </w:r>
      <w:r w:rsidRPr="003B42C5">
        <w:rPr>
          <w:b/>
          <w:bCs/>
          <w:iCs/>
          <w:spacing w:val="-2"/>
        </w:rPr>
        <w:t>s AGETIER-Mali, Tél. 21 32 18 09, Ségou, Quartier Résidentiel rue 545 porte 3</w:t>
      </w:r>
      <w:r w:rsidRPr="003B42C5">
        <w:rPr>
          <w:b/>
          <w:bCs/>
          <w:i/>
          <w:iCs/>
          <w:spacing w:val="-2"/>
        </w:rPr>
        <w:t>24</w:t>
      </w:r>
      <w:r w:rsidRPr="00AB507B">
        <w:rPr>
          <w:i/>
          <w:iCs/>
        </w:rPr>
        <w:t xml:space="preserve">. </w:t>
      </w:r>
    </w:p>
    <w:p w:rsidR="00E40CD0" w:rsidRDefault="00E40CD0" w:rsidP="00E40CD0">
      <w:pPr>
        <w:pStyle w:val="Paragraphedeliste"/>
        <w:tabs>
          <w:tab w:val="left" w:pos="0"/>
        </w:tabs>
        <w:suppressAutoHyphens w:val="0"/>
        <w:overflowPunct/>
        <w:autoSpaceDE/>
        <w:autoSpaceDN/>
        <w:adjustRightInd/>
        <w:ind w:left="720"/>
        <w:contextualSpacing/>
        <w:textAlignment w:val="auto"/>
      </w:pPr>
    </w:p>
    <w:p w:rsidR="00E40CD0" w:rsidRDefault="00E40CD0" w:rsidP="00E40CD0">
      <w:pPr>
        <w:pStyle w:val="Paragraphedeliste"/>
        <w:numPr>
          <w:ilvl w:val="0"/>
          <w:numId w:val="1"/>
        </w:numPr>
        <w:tabs>
          <w:tab w:val="left" w:pos="0"/>
        </w:tabs>
        <w:suppressAutoHyphens w:val="0"/>
        <w:overflowPunct/>
        <w:autoSpaceDE/>
        <w:autoSpaceDN/>
        <w:adjustRightInd/>
        <w:contextualSpacing/>
        <w:textAlignment w:val="auto"/>
      </w:pPr>
      <w:r>
        <w:t xml:space="preserve">Les offres devront être soumises à l’adresse ci-après </w:t>
      </w:r>
      <w:r w:rsidRPr="00E55627">
        <w:rPr>
          <w:b/>
          <w:bCs/>
          <w:iCs/>
          <w:spacing w:val="-2"/>
        </w:rPr>
        <w:t>AGETIER-Mali, Tél. 21 32 18 09, Ségou, Quartier Résidentiel rue 545 porte 324</w:t>
      </w:r>
      <w:r>
        <w:rPr>
          <w:i/>
          <w:iCs/>
        </w:rPr>
        <w:t xml:space="preserve"> </w:t>
      </w:r>
      <w:r>
        <w:t xml:space="preserve">au plus tard le </w:t>
      </w:r>
      <w:r w:rsidRPr="006A3C6A">
        <w:rPr>
          <w:b/>
          <w:i/>
          <w:iCs/>
        </w:rPr>
        <w:t>…………..à 10 h 00 mn</w:t>
      </w:r>
      <w:r w:rsidRPr="006A3C6A">
        <w:rPr>
          <w:b/>
        </w:rPr>
        <w:t>.</w:t>
      </w:r>
      <w:r>
        <w:t xml:space="preserve"> Les offres qui ne parviendront pas aux heures et date ci-dessus, indiquées, seront purement et simplement rejetées et retournées sans être ouvertes.</w:t>
      </w:r>
    </w:p>
    <w:p w:rsidR="00E40CD0" w:rsidRDefault="00E40CD0" w:rsidP="00E40CD0">
      <w:pPr>
        <w:pStyle w:val="Paragraphedeliste"/>
      </w:pPr>
    </w:p>
    <w:p w:rsidR="00E40CD0" w:rsidRDefault="00E40CD0" w:rsidP="00E40CD0">
      <w:pPr>
        <w:numPr>
          <w:ilvl w:val="0"/>
          <w:numId w:val="1"/>
        </w:numPr>
        <w:suppressAutoHyphens w:val="0"/>
        <w:overflowPunct/>
        <w:autoSpaceDE/>
        <w:adjustRightInd/>
        <w:spacing w:after="200"/>
        <w:ind w:left="0" w:firstLine="0"/>
        <w:textAlignment w:val="auto"/>
      </w:pPr>
      <w:r>
        <w:t xml:space="preserve">Les offres doivent comprendre </w:t>
      </w:r>
      <w:r>
        <w:rPr>
          <w:iCs/>
        </w:rPr>
        <w:t>une garantie de soumission</w:t>
      </w:r>
      <w:r>
        <w:t>, d’un montant de</w:t>
      </w:r>
    </w:p>
    <w:p w:rsidR="00E40CD0" w:rsidRPr="006A3C6A" w:rsidRDefault="00E40CD0" w:rsidP="00E40CD0">
      <w:pPr>
        <w:pStyle w:val="Paragraphedeliste"/>
        <w:numPr>
          <w:ilvl w:val="0"/>
          <w:numId w:val="3"/>
        </w:numPr>
        <w:tabs>
          <w:tab w:val="left" w:pos="0"/>
          <w:tab w:val="left" w:pos="1701"/>
        </w:tabs>
        <w:suppressAutoHyphens w:val="0"/>
        <w:overflowPunct/>
        <w:autoSpaceDE/>
        <w:autoSpaceDN/>
        <w:adjustRightInd/>
        <w:ind w:firstLine="556"/>
        <w:contextualSpacing/>
        <w:textAlignment w:val="auto"/>
        <w:rPr>
          <w:b/>
          <w:bCs/>
          <w:spacing w:val="-2"/>
        </w:rPr>
      </w:pPr>
      <w:r w:rsidRPr="006A3C6A">
        <w:rPr>
          <w:b/>
          <w:bCs/>
          <w:spacing w:val="-2"/>
        </w:rPr>
        <w:t xml:space="preserve">Un million cent mille (1 100 000) F CFA pour le lot 1 ; </w:t>
      </w:r>
    </w:p>
    <w:p w:rsidR="00E40CD0" w:rsidRPr="006A3C6A" w:rsidRDefault="00E40CD0" w:rsidP="00E40CD0">
      <w:pPr>
        <w:pStyle w:val="Paragraphedeliste"/>
        <w:numPr>
          <w:ilvl w:val="0"/>
          <w:numId w:val="3"/>
        </w:numPr>
        <w:tabs>
          <w:tab w:val="left" w:pos="1701"/>
        </w:tabs>
        <w:suppressAutoHyphens w:val="0"/>
        <w:overflowPunct/>
        <w:autoSpaceDE/>
        <w:autoSpaceDN/>
        <w:adjustRightInd/>
        <w:ind w:firstLine="556"/>
        <w:contextualSpacing/>
        <w:textAlignment w:val="auto"/>
        <w:rPr>
          <w:i/>
          <w:iCs/>
        </w:rPr>
      </w:pPr>
      <w:r w:rsidRPr="006A3C6A">
        <w:rPr>
          <w:b/>
          <w:bCs/>
          <w:spacing w:val="-2"/>
        </w:rPr>
        <w:t xml:space="preserve">Un million trois cent cinquante mille (1 350 000) F CFA pour le lot 2 ; </w:t>
      </w:r>
    </w:p>
    <w:p w:rsidR="00E40CD0" w:rsidRPr="006A3C6A" w:rsidRDefault="00E40CD0" w:rsidP="00E40CD0">
      <w:pPr>
        <w:tabs>
          <w:tab w:val="left" w:pos="1701"/>
        </w:tabs>
        <w:suppressAutoHyphens w:val="0"/>
        <w:overflowPunct/>
        <w:autoSpaceDE/>
        <w:autoSpaceDN/>
        <w:adjustRightInd/>
        <w:ind w:left="720"/>
        <w:contextualSpacing/>
        <w:textAlignment w:val="auto"/>
        <w:rPr>
          <w:iCs/>
        </w:rPr>
      </w:pPr>
      <w:r w:rsidRPr="006A3C6A">
        <w:rPr>
          <w:iCs/>
        </w:rPr>
        <w:t xml:space="preserve">ou le montant équivalent dans une monnaie librement convertible. </w:t>
      </w:r>
    </w:p>
    <w:p w:rsidR="00E40CD0" w:rsidRPr="006A3C6A" w:rsidRDefault="00E40CD0" w:rsidP="00E40CD0">
      <w:pPr>
        <w:suppressAutoHyphens w:val="0"/>
        <w:overflowPunct/>
        <w:autoSpaceDE/>
        <w:autoSpaceDN/>
        <w:adjustRightInd/>
        <w:contextualSpacing/>
        <w:textAlignment w:val="auto"/>
        <w:rPr>
          <w:b/>
          <w:bCs/>
          <w:spacing w:val="-2"/>
        </w:rPr>
      </w:pPr>
    </w:p>
    <w:p w:rsidR="00E40CD0" w:rsidRDefault="00E40CD0" w:rsidP="00E40CD0">
      <w:pPr>
        <w:numPr>
          <w:ilvl w:val="0"/>
          <w:numId w:val="1"/>
        </w:numPr>
        <w:suppressAutoHyphens w:val="0"/>
        <w:overflowPunct/>
        <w:autoSpaceDE/>
        <w:adjustRightInd/>
        <w:spacing w:after="200"/>
        <w:ind w:left="709" w:hanging="709"/>
        <w:textAlignment w:val="auto"/>
        <w:rPr>
          <w:sz w:val="20"/>
        </w:rPr>
      </w:pPr>
      <w:r>
        <w:t>Les Soumissionnaires</w:t>
      </w:r>
      <w:r w:rsidDel="00E43AEC">
        <w:t xml:space="preserve"> </w:t>
      </w:r>
      <w:r>
        <w:t xml:space="preserve">resteront engagés par leur offre pendant une période de </w:t>
      </w:r>
      <w:r>
        <w:rPr>
          <w:b/>
        </w:rPr>
        <w:t>quatre</w:t>
      </w:r>
      <w:r w:rsidRPr="006A3C6A">
        <w:rPr>
          <w:b/>
        </w:rPr>
        <w:t xml:space="preserve"> vingt</w:t>
      </w:r>
      <w:r>
        <w:rPr>
          <w:b/>
        </w:rPr>
        <w:t xml:space="preserve"> dix (9</w:t>
      </w:r>
      <w:r w:rsidRPr="006A3C6A">
        <w:rPr>
          <w:b/>
        </w:rPr>
        <w:t>0) jours</w:t>
      </w:r>
      <w:r>
        <w:rPr>
          <w:i/>
          <w:iCs/>
          <w:sz w:val="23"/>
          <w:szCs w:val="23"/>
        </w:rPr>
        <w:t xml:space="preserve"> </w:t>
      </w:r>
      <w:r>
        <w:t>à compter de la date limite du dépôt des offres comme spécifié au point 19.1 des IC et au DPAO.</w:t>
      </w:r>
    </w:p>
    <w:p w:rsidR="00E40CD0" w:rsidRPr="006A3C6A" w:rsidRDefault="00E40CD0" w:rsidP="00E40CD0">
      <w:pPr>
        <w:pStyle w:val="Paragraphedeliste"/>
        <w:numPr>
          <w:ilvl w:val="0"/>
          <w:numId w:val="1"/>
        </w:numPr>
        <w:tabs>
          <w:tab w:val="left" w:pos="0"/>
        </w:tabs>
        <w:suppressAutoHyphens w:val="0"/>
        <w:overflowPunct/>
        <w:autoSpaceDE/>
        <w:autoSpaceDN/>
        <w:adjustRightInd/>
        <w:contextualSpacing/>
        <w:textAlignment w:val="auto"/>
        <w:rPr>
          <w:b/>
        </w:rPr>
      </w:pPr>
      <w:r>
        <w:t>Les offres seront ouvertes en présence des représentants des soumissionnaires qui souhaitent assister à l’ouverture des plis le </w:t>
      </w:r>
      <w:r w:rsidRPr="006A3C6A">
        <w:rPr>
          <w:b/>
        </w:rPr>
        <w:t>………………….à</w:t>
      </w:r>
      <w:r>
        <w:t xml:space="preserve"> </w:t>
      </w:r>
      <w:r w:rsidRPr="006A3C6A">
        <w:rPr>
          <w:b/>
        </w:rPr>
        <w:t>10 h 15 mn</w:t>
      </w:r>
      <w:r>
        <w:t xml:space="preserve"> </w:t>
      </w:r>
      <w:r w:rsidRPr="006A3C6A">
        <w:rPr>
          <w:b/>
        </w:rPr>
        <w:t xml:space="preserve">dans la salle de conférence au rez de chaussée du siège de l’AGETIER-MALI QUARTIER RESIDENTIEL SEGOU ; RUE 545, PORTE 324, </w:t>
      </w:r>
      <w:r w:rsidRPr="006A3C6A">
        <w:rPr>
          <w:b/>
          <w:bCs/>
          <w:iCs/>
          <w:spacing w:val="-2"/>
        </w:rPr>
        <w:t>Tél. 21 32 18 09</w:t>
      </w:r>
      <w:r w:rsidRPr="006A3C6A">
        <w:rPr>
          <w:b/>
        </w:rPr>
        <w:t>.</w:t>
      </w:r>
    </w:p>
    <w:p w:rsidR="00E40CD0" w:rsidRPr="006A3C6A" w:rsidRDefault="00E40CD0" w:rsidP="00E40CD0">
      <w:pPr>
        <w:suppressAutoHyphens w:val="0"/>
        <w:overflowPunct/>
        <w:autoSpaceDE/>
        <w:adjustRightInd/>
        <w:spacing w:after="200"/>
        <w:textAlignment w:val="auto"/>
        <w:rPr>
          <w:sz w:val="22"/>
        </w:rPr>
      </w:pPr>
    </w:p>
    <w:p w:rsidR="00E40CD0" w:rsidRPr="0096155B" w:rsidRDefault="00E40CD0" w:rsidP="00E40CD0">
      <w:pPr>
        <w:jc w:val="right"/>
      </w:pPr>
      <w:r>
        <w:rPr>
          <w:i/>
          <w:sz w:val="22"/>
        </w:rPr>
        <w:tab/>
      </w:r>
      <w:r>
        <w:rPr>
          <w:i/>
          <w:sz w:val="22"/>
        </w:rPr>
        <w:tab/>
      </w:r>
      <w:r>
        <w:rPr>
          <w:i/>
          <w:sz w:val="22"/>
        </w:rPr>
        <w:tab/>
      </w:r>
      <w:r>
        <w:rPr>
          <w:i/>
          <w:sz w:val="22"/>
        </w:rPr>
        <w:tab/>
      </w:r>
      <w:r w:rsidRPr="0096155B">
        <w:t>Ségou le ……………………….. 2019</w:t>
      </w:r>
    </w:p>
    <w:p w:rsidR="00E40CD0" w:rsidRPr="0096155B" w:rsidRDefault="00E40CD0" w:rsidP="00E40CD0">
      <w:pPr>
        <w:jc w:val="right"/>
      </w:pPr>
    </w:p>
    <w:p w:rsidR="00E40CD0" w:rsidRPr="0096155B" w:rsidRDefault="00E40CD0" w:rsidP="00E40CD0">
      <w:pPr>
        <w:jc w:val="right"/>
        <w:rPr>
          <w:b/>
          <w:u w:val="single"/>
        </w:rPr>
      </w:pPr>
      <w:r w:rsidRPr="0096155B">
        <w:rPr>
          <w:b/>
          <w:u w:val="single"/>
        </w:rPr>
        <w:t>Le Directeur Général de l’AGETIER-MALI</w:t>
      </w:r>
    </w:p>
    <w:p w:rsidR="00E40CD0" w:rsidRPr="0096155B" w:rsidRDefault="00E40CD0" w:rsidP="00E40CD0">
      <w:pPr>
        <w:jc w:val="right"/>
      </w:pPr>
    </w:p>
    <w:p w:rsidR="00E40CD0" w:rsidRDefault="00E40CD0" w:rsidP="00E40CD0">
      <w:pPr>
        <w:jc w:val="right"/>
      </w:pPr>
    </w:p>
    <w:p w:rsidR="00E40CD0" w:rsidRPr="0096155B" w:rsidRDefault="00E40CD0" w:rsidP="00E40CD0">
      <w:pPr>
        <w:jc w:val="right"/>
      </w:pPr>
    </w:p>
    <w:p w:rsidR="00E40CD0" w:rsidRPr="00410C94" w:rsidRDefault="00E40CD0" w:rsidP="00E40CD0">
      <w:pPr>
        <w:tabs>
          <w:tab w:val="center" w:pos="4500"/>
        </w:tabs>
        <w:ind w:right="-90"/>
        <w:jc w:val="right"/>
      </w:pPr>
      <w:r w:rsidRPr="00410C94">
        <w:t>Zana COULIBALY</w:t>
      </w:r>
    </w:p>
    <w:p w:rsidR="00E40CD0" w:rsidRPr="00410C94" w:rsidRDefault="00E40CD0" w:rsidP="00E40CD0">
      <w:pPr>
        <w:ind w:left="720"/>
        <w:jc w:val="right"/>
      </w:pPr>
      <w:r w:rsidRPr="00410C94">
        <w:t>Chevalier de l’Ordre du Mérite Agricole</w:t>
      </w:r>
    </w:p>
    <w:p w:rsidR="00E40CD0" w:rsidRDefault="00E40CD0" w:rsidP="00E40CD0">
      <w:pPr>
        <w:suppressAutoHyphens w:val="0"/>
        <w:overflowPunct/>
        <w:autoSpaceDE/>
        <w:adjustRightInd/>
        <w:spacing w:after="200"/>
      </w:pPr>
      <w:r>
        <w:rPr>
          <w:sz w:val="20"/>
        </w:rPr>
        <w:br w:type="page"/>
      </w:r>
    </w:p>
    <w:p w:rsidR="00162738" w:rsidRDefault="00162738"/>
    <w:sectPr w:rsidR="00162738" w:rsidSect="001627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5476B"/>
    <w:multiLevelType w:val="hybridMultilevel"/>
    <w:tmpl w:val="83E447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CE3124"/>
    <w:multiLevelType w:val="hybridMultilevel"/>
    <w:tmpl w:val="161A52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ED1FA5"/>
    <w:multiLevelType w:val="hybridMultilevel"/>
    <w:tmpl w:val="7F369C6C"/>
    <w:lvl w:ilvl="0" w:tplc="FFFFFFFF">
      <w:start w:val="1"/>
      <w:numFmt w:val="decimal"/>
      <w:lvlText w:val="%1."/>
      <w:lvlJc w:val="left"/>
      <w:pPr>
        <w:tabs>
          <w:tab w:val="num" w:pos="720"/>
        </w:tabs>
        <w:ind w:left="720" w:hanging="72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5C62662"/>
    <w:multiLevelType w:val="hybridMultilevel"/>
    <w:tmpl w:val="6B60BB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9E0769"/>
    <w:multiLevelType w:val="hybridMultilevel"/>
    <w:tmpl w:val="CD6A0F94"/>
    <w:lvl w:ilvl="0" w:tplc="D25A844C">
      <w:start w:val="1"/>
      <w:numFmt w:val="lowerLetter"/>
      <w:lvlText w:val="%1)"/>
      <w:lvlJc w:val="left"/>
      <w:pPr>
        <w:ind w:left="1920" w:hanging="360"/>
      </w:pPr>
      <w:rPr>
        <w:rFonts w:hint="default"/>
        <w:b w:val="0"/>
      </w:rPr>
    </w:lvl>
    <w:lvl w:ilvl="1" w:tplc="040C0019" w:tentative="1">
      <w:start w:val="1"/>
      <w:numFmt w:val="lowerLetter"/>
      <w:lvlText w:val="%2."/>
      <w:lvlJc w:val="left"/>
      <w:pPr>
        <w:ind w:left="2640" w:hanging="360"/>
      </w:pPr>
    </w:lvl>
    <w:lvl w:ilvl="2" w:tplc="040C001B" w:tentative="1">
      <w:start w:val="1"/>
      <w:numFmt w:val="lowerRoman"/>
      <w:lvlText w:val="%3."/>
      <w:lvlJc w:val="right"/>
      <w:pPr>
        <w:ind w:left="3360" w:hanging="180"/>
      </w:pPr>
    </w:lvl>
    <w:lvl w:ilvl="3" w:tplc="040C000F" w:tentative="1">
      <w:start w:val="1"/>
      <w:numFmt w:val="decimal"/>
      <w:lvlText w:val="%4."/>
      <w:lvlJc w:val="left"/>
      <w:pPr>
        <w:ind w:left="4080" w:hanging="360"/>
      </w:pPr>
    </w:lvl>
    <w:lvl w:ilvl="4" w:tplc="040C0019" w:tentative="1">
      <w:start w:val="1"/>
      <w:numFmt w:val="lowerLetter"/>
      <w:lvlText w:val="%5."/>
      <w:lvlJc w:val="left"/>
      <w:pPr>
        <w:ind w:left="4800" w:hanging="360"/>
      </w:pPr>
    </w:lvl>
    <w:lvl w:ilvl="5" w:tplc="040C001B" w:tentative="1">
      <w:start w:val="1"/>
      <w:numFmt w:val="lowerRoman"/>
      <w:lvlText w:val="%6."/>
      <w:lvlJc w:val="right"/>
      <w:pPr>
        <w:ind w:left="5520" w:hanging="180"/>
      </w:pPr>
    </w:lvl>
    <w:lvl w:ilvl="6" w:tplc="040C000F" w:tentative="1">
      <w:start w:val="1"/>
      <w:numFmt w:val="decimal"/>
      <w:lvlText w:val="%7."/>
      <w:lvlJc w:val="left"/>
      <w:pPr>
        <w:ind w:left="6240" w:hanging="360"/>
      </w:pPr>
    </w:lvl>
    <w:lvl w:ilvl="7" w:tplc="040C0019" w:tentative="1">
      <w:start w:val="1"/>
      <w:numFmt w:val="lowerLetter"/>
      <w:lvlText w:val="%8."/>
      <w:lvlJc w:val="left"/>
      <w:pPr>
        <w:ind w:left="6960" w:hanging="360"/>
      </w:pPr>
    </w:lvl>
    <w:lvl w:ilvl="8" w:tplc="040C001B" w:tentative="1">
      <w:start w:val="1"/>
      <w:numFmt w:val="lowerRoman"/>
      <w:lvlText w:val="%9."/>
      <w:lvlJc w:val="right"/>
      <w:pPr>
        <w:ind w:left="7680" w:hanging="180"/>
      </w:pPr>
    </w:lvl>
  </w:abstractNum>
  <w:abstractNum w:abstractNumId="5" w15:restartNumberingAfterBreak="0">
    <w:nsid w:val="3EC26B68"/>
    <w:multiLevelType w:val="hybridMultilevel"/>
    <w:tmpl w:val="D4A2F096"/>
    <w:lvl w:ilvl="0" w:tplc="74708118">
      <w:start w:val="3"/>
      <w:numFmt w:val="lowerLetter"/>
      <w:lvlText w:val="%1)"/>
      <w:lvlJc w:val="left"/>
      <w:pPr>
        <w:ind w:left="1920" w:hanging="360"/>
      </w:pPr>
      <w:rPr>
        <w:rFonts w:hint="default"/>
      </w:rPr>
    </w:lvl>
    <w:lvl w:ilvl="1" w:tplc="040C0019" w:tentative="1">
      <w:start w:val="1"/>
      <w:numFmt w:val="lowerLetter"/>
      <w:lvlText w:val="%2."/>
      <w:lvlJc w:val="left"/>
      <w:pPr>
        <w:ind w:left="2640" w:hanging="360"/>
      </w:pPr>
    </w:lvl>
    <w:lvl w:ilvl="2" w:tplc="040C001B" w:tentative="1">
      <w:start w:val="1"/>
      <w:numFmt w:val="lowerRoman"/>
      <w:lvlText w:val="%3."/>
      <w:lvlJc w:val="right"/>
      <w:pPr>
        <w:ind w:left="3360" w:hanging="180"/>
      </w:pPr>
    </w:lvl>
    <w:lvl w:ilvl="3" w:tplc="040C000F" w:tentative="1">
      <w:start w:val="1"/>
      <w:numFmt w:val="decimal"/>
      <w:lvlText w:val="%4."/>
      <w:lvlJc w:val="left"/>
      <w:pPr>
        <w:ind w:left="4080" w:hanging="360"/>
      </w:pPr>
    </w:lvl>
    <w:lvl w:ilvl="4" w:tplc="040C0019" w:tentative="1">
      <w:start w:val="1"/>
      <w:numFmt w:val="lowerLetter"/>
      <w:lvlText w:val="%5."/>
      <w:lvlJc w:val="left"/>
      <w:pPr>
        <w:ind w:left="4800" w:hanging="360"/>
      </w:pPr>
    </w:lvl>
    <w:lvl w:ilvl="5" w:tplc="040C001B" w:tentative="1">
      <w:start w:val="1"/>
      <w:numFmt w:val="lowerRoman"/>
      <w:lvlText w:val="%6."/>
      <w:lvlJc w:val="right"/>
      <w:pPr>
        <w:ind w:left="5520" w:hanging="180"/>
      </w:pPr>
    </w:lvl>
    <w:lvl w:ilvl="6" w:tplc="040C000F" w:tentative="1">
      <w:start w:val="1"/>
      <w:numFmt w:val="decimal"/>
      <w:lvlText w:val="%7."/>
      <w:lvlJc w:val="left"/>
      <w:pPr>
        <w:ind w:left="6240" w:hanging="360"/>
      </w:pPr>
    </w:lvl>
    <w:lvl w:ilvl="7" w:tplc="040C0019" w:tentative="1">
      <w:start w:val="1"/>
      <w:numFmt w:val="lowerLetter"/>
      <w:lvlText w:val="%8."/>
      <w:lvlJc w:val="left"/>
      <w:pPr>
        <w:ind w:left="6960" w:hanging="360"/>
      </w:pPr>
    </w:lvl>
    <w:lvl w:ilvl="8" w:tplc="040C001B" w:tentative="1">
      <w:start w:val="1"/>
      <w:numFmt w:val="lowerRoman"/>
      <w:lvlText w:val="%9."/>
      <w:lvlJc w:val="right"/>
      <w:pPr>
        <w:ind w:left="7680" w:hanging="180"/>
      </w:pPr>
    </w:lvl>
  </w:abstractNum>
  <w:abstractNum w:abstractNumId="6" w15:restartNumberingAfterBreak="0">
    <w:nsid w:val="69DE2A3C"/>
    <w:multiLevelType w:val="hybridMultilevel"/>
    <w:tmpl w:val="ED324248"/>
    <w:lvl w:ilvl="0" w:tplc="BAA4AD92">
      <w:start w:val="13"/>
      <w:numFmt w:val="bullet"/>
      <w:lvlText w:val="-"/>
      <w:lvlJc w:val="left"/>
      <w:pPr>
        <w:ind w:left="1146" w:hanging="360"/>
      </w:pPr>
      <w:rPr>
        <w:rFonts w:ascii="Times New Roman" w:hAnsi="Times New Roman" w:hint="default"/>
        <w:b w:val="0"/>
        <w:bCs/>
        <w:i w:val="0"/>
        <w:sz w:val="24"/>
      </w:rPr>
    </w:lvl>
    <w:lvl w:ilvl="1" w:tplc="40AA0FF8" w:tentative="1">
      <w:start w:val="1"/>
      <w:numFmt w:val="bullet"/>
      <w:lvlText w:val="o"/>
      <w:lvlJc w:val="left"/>
      <w:pPr>
        <w:ind w:left="1866" w:hanging="360"/>
      </w:pPr>
      <w:rPr>
        <w:rFonts w:ascii="Courier New" w:hAnsi="Courier New" w:cs="Courier New" w:hint="default"/>
      </w:rPr>
    </w:lvl>
    <w:lvl w:ilvl="2" w:tplc="E1228E84" w:tentative="1">
      <w:start w:val="1"/>
      <w:numFmt w:val="bullet"/>
      <w:lvlText w:val=""/>
      <w:lvlJc w:val="left"/>
      <w:pPr>
        <w:ind w:left="2586" w:hanging="360"/>
      </w:pPr>
      <w:rPr>
        <w:rFonts w:ascii="Wingdings" w:hAnsi="Wingdings" w:hint="default"/>
      </w:rPr>
    </w:lvl>
    <w:lvl w:ilvl="3" w:tplc="FCAC1F1E" w:tentative="1">
      <w:start w:val="1"/>
      <w:numFmt w:val="bullet"/>
      <w:lvlText w:val=""/>
      <w:lvlJc w:val="left"/>
      <w:pPr>
        <w:ind w:left="3306" w:hanging="360"/>
      </w:pPr>
      <w:rPr>
        <w:rFonts w:ascii="Symbol" w:hAnsi="Symbol" w:hint="default"/>
      </w:rPr>
    </w:lvl>
    <w:lvl w:ilvl="4" w:tplc="3ED4B44E" w:tentative="1">
      <w:start w:val="1"/>
      <w:numFmt w:val="bullet"/>
      <w:lvlText w:val="o"/>
      <w:lvlJc w:val="left"/>
      <w:pPr>
        <w:ind w:left="4026" w:hanging="360"/>
      </w:pPr>
      <w:rPr>
        <w:rFonts w:ascii="Courier New" w:hAnsi="Courier New" w:cs="Courier New" w:hint="default"/>
      </w:rPr>
    </w:lvl>
    <w:lvl w:ilvl="5" w:tplc="C43EF030" w:tentative="1">
      <w:start w:val="1"/>
      <w:numFmt w:val="bullet"/>
      <w:lvlText w:val=""/>
      <w:lvlJc w:val="left"/>
      <w:pPr>
        <w:ind w:left="4746" w:hanging="360"/>
      </w:pPr>
      <w:rPr>
        <w:rFonts w:ascii="Wingdings" w:hAnsi="Wingdings" w:hint="default"/>
      </w:rPr>
    </w:lvl>
    <w:lvl w:ilvl="6" w:tplc="E68C1CB8" w:tentative="1">
      <w:start w:val="1"/>
      <w:numFmt w:val="bullet"/>
      <w:lvlText w:val=""/>
      <w:lvlJc w:val="left"/>
      <w:pPr>
        <w:ind w:left="5466" w:hanging="360"/>
      </w:pPr>
      <w:rPr>
        <w:rFonts w:ascii="Symbol" w:hAnsi="Symbol" w:hint="default"/>
      </w:rPr>
    </w:lvl>
    <w:lvl w:ilvl="7" w:tplc="42AE9EF4" w:tentative="1">
      <w:start w:val="1"/>
      <w:numFmt w:val="bullet"/>
      <w:lvlText w:val="o"/>
      <w:lvlJc w:val="left"/>
      <w:pPr>
        <w:ind w:left="6186" w:hanging="360"/>
      </w:pPr>
      <w:rPr>
        <w:rFonts w:ascii="Courier New" w:hAnsi="Courier New" w:cs="Courier New" w:hint="default"/>
      </w:rPr>
    </w:lvl>
    <w:lvl w:ilvl="8" w:tplc="97FAF35A" w:tentative="1">
      <w:start w:val="1"/>
      <w:numFmt w:val="bullet"/>
      <w:lvlText w:val=""/>
      <w:lvlJc w:val="left"/>
      <w:pPr>
        <w:ind w:left="6906" w:hanging="360"/>
      </w:pPr>
      <w:rPr>
        <w:rFonts w:ascii="Wingdings" w:hAnsi="Wingdings" w:hint="default"/>
      </w:rPr>
    </w:lvl>
  </w:abstractNum>
  <w:abstractNum w:abstractNumId="7" w15:restartNumberingAfterBreak="0">
    <w:nsid w:val="77DA4305"/>
    <w:multiLevelType w:val="hybridMultilevel"/>
    <w:tmpl w:val="66FEA572"/>
    <w:lvl w:ilvl="0" w:tplc="040C000D">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1"/>
  </w:num>
  <w:num w:numId="5">
    <w:abstractNumId w:val="0"/>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D0"/>
    <w:rsid w:val="00162738"/>
    <w:rsid w:val="00222978"/>
    <w:rsid w:val="00BB2CCF"/>
    <w:rsid w:val="00E40CD0"/>
    <w:rsid w:val="00F466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66967D-9D72-421A-9C4B-4E6E369D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CD0"/>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Kopfzeile Char Char, Char Char Char"/>
    <w:basedOn w:val="Normal"/>
    <w:link w:val="En-tteCar"/>
    <w:uiPriority w:val="99"/>
    <w:rsid w:val="00E40CD0"/>
    <w:pPr>
      <w:jc w:val="left"/>
    </w:pPr>
    <w:rPr>
      <w:sz w:val="20"/>
    </w:rPr>
  </w:style>
  <w:style w:type="character" w:customStyle="1" w:styleId="En-tteCar">
    <w:name w:val="En-tête Car"/>
    <w:aliases w:val="Kopfzeile Char Char Car, Char Char Char Car"/>
    <w:basedOn w:val="Policepardfaut"/>
    <w:link w:val="En-tte"/>
    <w:uiPriority w:val="99"/>
    <w:rsid w:val="00E40CD0"/>
    <w:rPr>
      <w:rFonts w:ascii="Times New Roman" w:eastAsia="Times New Roman" w:hAnsi="Times New Roman" w:cs="Arial"/>
      <w:sz w:val="20"/>
      <w:szCs w:val="24"/>
      <w:lang w:eastAsia="fr-FR"/>
    </w:rPr>
  </w:style>
  <w:style w:type="paragraph" w:styleId="Notedebasdepage">
    <w:name w:val="footnote text"/>
    <w:basedOn w:val="Normal"/>
    <w:link w:val="NotedebasdepageCar"/>
    <w:rsid w:val="00E40CD0"/>
    <w:rPr>
      <w:sz w:val="20"/>
    </w:rPr>
  </w:style>
  <w:style w:type="character" w:customStyle="1" w:styleId="NotedebasdepageCar">
    <w:name w:val="Note de bas de page Car"/>
    <w:basedOn w:val="Policepardfaut"/>
    <w:link w:val="Notedebasdepage"/>
    <w:rsid w:val="00E40CD0"/>
    <w:rPr>
      <w:rFonts w:ascii="Times New Roman" w:eastAsia="Times New Roman" w:hAnsi="Times New Roman" w:cs="Arial"/>
      <w:sz w:val="20"/>
      <w:szCs w:val="24"/>
      <w:lang w:eastAsia="fr-FR"/>
    </w:rPr>
  </w:style>
  <w:style w:type="character" w:styleId="Lienhypertexte">
    <w:name w:val="Hyperlink"/>
    <w:basedOn w:val="Policepardfaut"/>
    <w:uiPriority w:val="99"/>
    <w:rsid w:val="00E40CD0"/>
    <w:rPr>
      <w:color w:val="0000FF"/>
      <w:u w:val="single"/>
    </w:rPr>
  </w:style>
  <w:style w:type="paragraph" w:customStyle="1" w:styleId="Style1">
    <w:name w:val="Style1"/>
    <w:basedOn w:val="Normal"/>
    <w:rsid w:val="00E40CD0"/>
    <w:pPr>
      <w:tabs>
        <w:tab w:val="num" w:pos="360"/>
      </w:tabs>
      <w:suppressAutoHyphens w:val="0"/>
      <w:overflowPunct/>
      <w:autoSpaceDE/>
      <w:autoSpaceDN/>
      <w:adjustRightInd/>
      <w:ind w:left="360" w:hanging="360"/>
      <w:jc w:val="left"/>
      <w:textAlignment w:val="auto"/>
    </w:pPr>
    <w:rPr>
      <w:rFonts w:cs="Times New Roman"/>
      <w:b/>
      <w:szCs w:val="20"/>
    </w:rPr>
  </w:style>
  <w:style w:type="paragraph" w:styleId="Paragraphedeliste">
    <w:name w:val="List Paragraph"/>
    <w:aliases w:val="Bullets,References,Paragraphe de liste1,Liste 1,List Paragraph nowy,Numbered List Paragraph,List Paragraph (numbered (a)),Medium Grid 1 - Accent 21,Paragraphe de liste2,Bullet 1,Premier,Paragraphe  revu,Bullet L1,L_4,- List tir"/>
    <w:basedOn w:val="Normal"/>
    <w:link w:val="ParagraphedelisteCar"/>
    <w:uiPriority w:val="34"/>
    <w:qFormat/>
    <w:rsid w:val="00E40CD0"/>
    <w:pPr>
      <w:ind w:left="708"/>
    </w:pPr>
  </w:style>
  <w:style w:type="character" w:customStyle="1" w:styleId="ParagraphedelisteCar">
    <w:name w:val="Paragraphe de liste Car"/>
    <w:aliases w:val="Bullets Car,References Car,Paragraphe de liste1 Car,Liste 1 Car,List Paragraph nowy Car,Numbered List Paragraph Car,List Paragraph (numbered (a)) Car,Medium Grid 1 - Accent 21 Car,Paragraphe de liste2 Car,Bullet 1 Car,Premier Car"/>
    <w:link w:val="Paragraphedeliste"/>
    <w:uiPriority w:val="34"/>
    <w:rsid w:val="00E40CD0"/>
    <w:rPr>
      <w:rFonts w:ascii="Times New Roman" w:eastAsia="Times New Roman" w:hAnsi="Times New Roman" w:cs="Arial"/>
      <w:sz w:val="24"/>
      <w:szCs w:val="24"/>
      <w:lang w:eastAsia="fr-FR"/>
    </w:rPr>
  </w:style>
  <w:style w:type="paragraph" w:styleId="Liste2">
    <w:name w:val="List 2"/>
    <w:basedOn w:val="Normal"/>
    <w:unhideWhenUsed/>
    <w:rsid w:val="00E40CD0"/>
    <w:pPr>
      <w:ind w:left="566" w:hanging="283"/>
      <w:contextualSpacing/>
    </w:pPr>
  </w:style>
  <w:style w:type="character" w:customStyle="1" w:styleId="DeltaViewInsertion">
    <w:name w:val="DeltaView Insertion"/>
    <w:rsid w:val="00E40CD0"/>
    <w:rPr>
      <w:color w:val="0000FF"/>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etier@agetiermali.com" TargetMode="External"/><Relationship Id="rId5" Type="http://schemas.openxmlformats.org/officeDocument/2006/relationships/hyperlink" Target="http://www.afdb.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1253</Words>
  <Characters>6894</Characters>
  <Application>Microsoft Office Word</Application>
  <DocSecurity>0</DocSecurity>
  <Lines>57</Lines>
  <Paragraphs>16</Paragraphs>
  <ScaleCrop>false</ScaleCrop>
  <Company>Hewlett-Packard Company</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maïmouna.diarra</dc:creator>
  <cp:lastModifiedBy>dgmp</cp:lastModifiedBy>
  <cp:revision>3</cp:revision>
  <dcterms:created xsi:type="dcterms:W3CDTF">2021-06-01T15:16:00Z</dcterms:created>
  <dcterms:modified xsi:type="dcterms:W3CDTF">2021-06-01T15:16:00Z</dcterms:modified>
</cp:coreProperties>
</file>