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36" w:rsidRPr="002F1986" w:rsidRDefault="001A7236" w:rsidP="001A7236">
      <w:pPr>
        <w:ind w:right="-993"/>
        <w:rPr>
          <w:rFonts w:ascii="Palatino Linotype" w:hAnsi="Palatino Linotype"/>
          <w:b/>
          <w:sz w:val="20"/>
        </w:rPr>
      </w:pPr>
      <w:r w:rsidRPr="002F1986">
        <w:rPr>
          <w:rFonts w:ascii="Palatino Linotype" w:hAnsi="Palatino Linotype"/>
          <w:b/>
          <w:sz w:val="20"/>
        </w:rPr>
        <w:t xml:space="preserve">MINISTERE DE LA SANTE </w:t>
      </w:r>
      <w:r w:rsidRPr="002F1986">
        <w:rPr>
          <w:rFonts w:ascii="Palatino Linotype" w:hAnsi="Palatino Linotype"/>
          <w:b/>
          <w:sz w:val="20"/>
        </w:rPr>
        <w:tab/>
      </w:r>
      <w:r w:rsidRPr="002F1986">
        <w:rPr>
          <w:rFonts w:ascii="Palatino Linotype" w:hAnsi="Palatino Linotype"/>
          <w:b/>
          <w:sz w:val="20"/>
        </w:rPr>
        <w:tab/>
      </w:r>
      <w:r w:rsidRPr="002F1986">
        <w:rPr>
          <w:rFonts w:ascii="Palatino Linotype" w:hAnsi="Palatino Linotype"/>
          <w:b/>
          <w:sz w:val="20"/>
        </w:rPr>
        <w:tab/>
        <w:t xml:space="preserve">                                                           REPUBLIQUE DU MALI</w:t>
      </w:r>
    </w:p>
    <w:p w:rsidR="001A7236" w:rsidRPr="002F1986" w:rsidRDefault="001A7236" w:rsidP="001A7236">
      <w:pPr>
        <w:ind w:right="-993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ET DU DEVELOPPEMENT SOCIAL</w:t>
      </w:r>
      <w:r w:rsidRPr="002F1986">
        <w:rPr>
          <w:rFonts w:ascii="Palatino Linotype" w:hAnsi="Palatino Linotype"/>
          <w:b/>
          <w:sz w:val="20"/>
        </w:rPr>
        <w:tab/>
      </w:r>
      <w:r w:rsidRPr="002F1986">
        <w:rPr>
          <w:rFonts w:ascii="Palatino Linotype" w:hAnsi="Palatino Linotype"/>
          <w:b/>
          <w:sz w:val="20"/>
        </w:rPr>
        <w:tab/>
      </w:r>
      <w:r w:rsidRPr="002F1986">
        <w:rPr>
          <w:rFonts w:ascii="Palatino Linotype" w:hAnsi="Palatino Linotype"/>
          <w:b/>
          <w:sz w:val="20"/>
        </w:rPr>
        <w:tab/>
        <w:t xml:space="preserve">                                           Un Peuple-Un But-Une Foi         </w:t>
      </w:r>
    </w:p>
    <w:p w:rsidR="001A7236" w:rsidRPr="000A1566" w:rsidRDefault="001A7236" w:rsidP="001A7236">
      <w:pPr>
        <w:ind w:left="-851" w:right="-993"/>
        <w:rPr>
          <w:b/>
          <w:sz w:val="20"/>
        </w:rPr>
      </w:pPr>
      <w:r w:rsidRPr="000A1566">
        <w:rPr>
          <w:b/>
          <w:sz w:val="20"/>
        </w:rPr>
        <w:t xml:space="preserve">                      -----------------------------                                                                                                        ----------------------                    </w:t>
      </w:r>
    </w:p>
    <w:p w:rsidR="001A7236" w:rsidRPr="000A1566" w:rsidRDefault="001A7236" w:rsidP="001A7236">
      <w:pPr>
        <w:ind w:right="-709"/>
        <w:rPr>
          <w:b/>
          <w:sz w:val="20"/>
        </w:rPr>
      </w:pPr>
      <w:r w:rsidRPr="000A1566">
        <w:rPr>
          <w:b/>
          <w:sz w:val="20"/>
        </w:rPr>
        <w:t xml:space="preserve"> PHARMACIE POPULAIRE DU MALI                </w:t>
      </w:r>
    </w:p>
    <w:p w:rsidR="001A7236" w:rsidRPr="000A1566" w:rsidRDefault="001A7236" w:rsidP="001A7236">
      <w:pPr>
        <w:ind w:right="-567"/>
        <w:rPr>
          <w:b/>
          <w:sz w:val="20"/>
        </w:rPr>
      </w:pPr>
      <w:r w:rsidRPr="000A1566">
        <w:rPr>
          <w:b/>
          <w:sz w:val="20"/>
        </w:rPr>
        <w:t xml:space="preserve"> DIRECTION GENERALE                                                                          </w:t>
      </w:r>
    </w:p>
    <w:p w:rsidR="001A7236" w:rsidRPr="0058615B" w:rsidRDefault="001A7236" w:rsidP="001A7236">
      <w:pPr>
        <w:spacing w:line="360" w:lineRule="auto"/>
        <w:ind w:right="-567"/>
        <w:rPr>
          <w:b/>
          <w:sz w:val="32"/>
          <w:szCs w:val="32"/>
        </w:rPr>
      </w:pPr>
      <w:r w:rsidRPr="000A1566">
        <w:rPr>
          <w:noProof/>
          <w:sz w:val="20"/>
        </w:rPr>
        <w:drawing>
          <wp:inline distT="0" distB="0" distL="0" distR="0">
            <wp:extent cx="765584" cy="619125"/>
            <wp:effectExtent l="0" t="0" r="0" b="0"/>
            <wp:docPr id="3" name="Image 3" descr="C:\Users\DEMBELE\Desktop\P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BELE\Desktop\PP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09" cy="6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66">
        <w:rPr>
          <w:b/>
          <w:sz w:val="32"/>
          <w:szCs w:val="32"/>
        </w:rPr>
        <w:t>Avis d’Appel d’Offres International Ouvert (AAOIO)</w:t>
      </w:r>
    </w:p>
    <w:p w:rsidR="001A7236" w:rsidRPr="00F6015C" w:rsidRDefault="001A7236" w:rsidP="001A7236">
      <w:pPr>
        <w:spacing w:line="360" w:lineRule="auto"/>
        <w:jc w:val="center"/>
        <w:rPr>
          <w:rFonts w:ascii="Verdana" w:hAnsi="Verdana"/>
          <w:szCs w:val="24"/>
        </w:rPr>
      </w:pPr>
      <w:r w:rsidRPr="003D568D">
        <w:rPr>
          <w:rFonts w:ascii="Verdana" w:hAnsi="Verdana"/>
          <w:szCs w:val="24"/>
        </w:rPr>
        <w:t>La Pharmacie Populaire du Mali</w:t>
      </w:r>
    </w:p>
    <w:p w:rsidR="001A7236" w:rsidRPr="00647B71" w:rsidRDefault="001A7236" w:rsidP="001A7236">
      <w:r w:rsidRPr="00647B71">
        <w:t xml:space="preserve">Appel d’offres ouvert  N° </w:t>
      </w:r>
      <w:r>
        <w:t>04/2021</w:t>
      </w:r>
      <w:r w:rsidRPr="00647B71">
        <w:t xml:space="preserve">-PPM relatif à la fourniture </w:t>
      </w:r>
      <w:r w:rsidRPr="00310DE2">
        <w:rPr>
          <w:rFonts w:ascii="Tahoma" w:hAnsi="Tahoma" w:cs="Tahoma"/>
          <w:sz w:val="22"/>
          <w:szCs w:val="22"/>
        </w:rPr>
        <w:t xml:space="preserve">des </w:t>
      </w:r>
      <w:r w:rsidRPr="000A1566">
        <w:rPr>
          <w:szCs w:val="24"/>
        </w:rPr>
        <w:t xml:space="preserve">produits </w:t>
      </w:r>
      <w:r>
        <w:rPr>
          <w:szCs w:val="24"/>
        </w:rPr>
        <w:t>de nutrition (</w:t>
      </w:r>
      <w:proofErr w:type="spellStart"/>
      <w:r w:rsidRPr="002A5A8C">
        <w:rPr>
          <w:szCs w:val="24"/>
        </w:rPr>
        <w:t>PlumpyNut</w:t>
      </w:r>
      <w:proofErr w:type="spellEnd"/>
      <w:r w:rsidRPr="002A5A8C">
        <w:rPr>
          <w:szCs w:val="24"/>
        </w:rPr>
        <w:t xml:space="preserve"> Pate</w:t>
      </w:r>
      <w:proofErr w:type="gramStart"/>
      <w:r w:rsidRPr="002A5A8C">
        <w:rPr>
          <w:sz w:val="28"/>
          <w:szCs w:val="28"/>
        </w:rPr>
        <w:t>)</w:t>
      </w:r>
      <w:r w:rsidRPr="00647B71">
        <w:t>au</w:t>
      </w:r>
      <w:proofErr w:type="gramEnd"/>
      <w:r w:rsidRPr="00647B71">
        <w:t xml:space="preserve"> compte de </w:t>
      </w:r>
      <w:r>
        <w:t xml:space="preserve">la </w:t>
      </w:r>
      <w:r w:rsidRPr="00647B71">
        <w:t>Pharmacie Populaire du Mali (PPM).</w:t>
      </w:r>
    </w:p>
    <w:p w:rsidR="001A7236" w:rsidRDefault="001A7236" w:rsidP="001A7236">
      <w:pPr>
        <w:ind w:left="708"/>
      </w:pPr>
    </w:p>
    <w:p w:rsidR="001A7236" w:rsidRDefault="001A7236" w:rsidP="001A7236">
      <w:pPr>
        <w:ind w:left="708"/>
      </w:pPr>
      <w:r w:rsidRPr="00EC414A">
        <w:t>Cet Avis d’appel d’offres fait suite aux Avis Généraux de Passation des Marchés parus dans l’ESSOR N</w:t>
      </w:r>
      <w:r w:rsidRPr="00D85B9A">
        <w:rPr>
          <w:color w:val="FF0000"/>
        </w:rPr>
        <w:t xml:space="preserve">° </w:t>
      </w:r>
      <w:r>
        <w:rPr>
          <w:color w:val="FF0000"/>
        </w:rPr>
        <w:t>19280</w:t>
      </w:r>
      <w:r w:rsidRPr="00D85B9A">
        <w:rPr>
          <w:color w:val="FF0000"/>
        </w:rPr>
        <w:t xml:space="preserve"> du </w:t>
      </w:r>
      <w:r>
        <w:rPr>
          <w:color w:val="FF0000"/>
        </w:rPr>
        <w:t>jeudi 05 novembre 2020</w:t>
      </w:r>
    </w:p>
    <w:p w:rsidR="001A7236" w:rsidRPr="00310DE2" w:rsidRDefault="001A7236" w:rsidP="001A7236">
      <w:pPr>
        <w:rPr>
          <w:iCs/>
        </w:rPr>
      </w:pPr>
    </w:p>
    <w:p w:rsidR="001A7236" w:rsidRPr="00B57125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 xml:space="preserve">La Pharmacie Populaire du Mali dispose des fonds propres sur son budget, afin de financer la  Lutte contre la maladie, et à l’intention d’utiliser une partie de ces fonds pour effectuer les paiements au titre du marché pour la fourniture des </w:t>
      </w:r>
      <w:r w:rsidRPr="000A1566">
        <w:rPr>
          <w:szCs w:val="24"/>
        </w:rPr>
        <w:t xml:space="preserve">produits </w:t>
      </w:r>
      <w:r>
        <w:rPr>
          <w:szCs w:val="24"/>
        </w:rPr>
        <w:t>de nutrition (</w:t>
      </w:r>
      <w:proofErr w:type="spellStart"/>
      <w:r w:rsidRPr="002A5A8C">
        <w:rPr>
          <w:szCs w:val="24"/>
        </w:rPr>
        <w:t>PlumpyNut</w:t>
      </w:r>
      <w:proofErr w:type="spellEnd"/>
      <w:r w:rsidRPr="002A5A8C">
        <w:rPr>
          <w:szCs w:val="24"/>
        </w:rPr>
        <w:t xml:space="preserve"> Pate</w:t>
      </w:r>
      <w:r w:rsidRPr="002A5A8C">
        <w:rPr>
          <w:sz w:val="28"/>
          <w:szCs w:val="28"/>
        </w:rPr>
        <w:t>)</w:t>
      </w:r>
      <w:r w:rsidRPr="00310DE2">
        <w:rPr>
          <w:rFonts w:ascii="Tahoma" w:hAnsi="Tahoma" w:cs="Tahoma"/>
          <w:sz w:val="22"/>
          <w:szCs w:val="22"/>
        </w:rPr>
        <w:t>dans le cadre d’un marché qui sera conclu avec le ou les fournisseurs retenu(s) à l’issue de l’Appel d’Offres International Ouvert.</w:t>
      </w:r>
    </w:p>
    <w:p w:rsidR="001A7236" w:rsidRDefault="001A7236" w:rsidP="001A7236">
      <w:pPr>
        <w:numPr>
          <w:ilvl w:val="0"/>
          <w:numId w:val="2"/>
        </w:numPr>
        <w:spacing w:after="200" w:line="276" w:lineRule="auto"/>
        <w:contextualSpacing/>
        <w:rPr>
          <w:rFonts w:ascii="Tahoma" w:hAnsi="Tahoma" w:cs="Tahoma"/>
          <w:sz w:val="22"/>
          <w:szCs w:val="22"/>
          <w:lang w:val="fr-CA"/>
        </w:rPr>
      </w:pPr>
      <w:r w:rsidRPr="00310DE2">
        <w:rPr>
          <w:rFonts w:ascii="Tahoma" w:hAnsi="Tahoma" w:cs="Tahoma"/>
          <w:sz w:val="22"/>
          <w:szCs w:val="22"/>
        </w:rPr>
        <w:t xml:space="preserve">La Pharmacie Populaire du Mali sollicite des offres fermées de la part des candidats éligibles et répondant aux qualifications requises pour la livraison des </w:t>
      </w:r>
      <w:r w:rsidRPr="000A1566">
        <w:rPr>
          <w:szCs w:val="24"/>
        </w:rPr>
        <w:t xml:space="preserve">produits </w:t>
      </w:r>
      <w:r>
        <w:rPr>
          <w:szCs w:val="24"/>
        </w:rPr>
        <w:t xml:space="preserve">de nutrition </w:t>
      </w:r>
      <w:r w:rsidRPr="007D1011">
        <w:rPr>
          <w:rFonts w:ascii="Tahoma" w:hAnsi="Tahoma" w:cs="Tahoma"/>
          <w:sz w:val="22"/>
          <w:szCs w:val="22"/>
        </w:rPr>
        <w:t>(</w:t>
      </w:r>
      <w:proofErr w:type="spellStart"/>
      <w:r w:rsidRPr="002A5A8C">
        <w:rPr>
          <w:szCs w:val="24"/>
        </w:rPr>
        <w:t>PlumpyNut</w:t>
      </w:r>
      <w:proofErr w:type="spellEnd"/>
      <w:r w:rsidRPr="002A5A8C">
        <w:rPr>
          <w:szCs w:val="24"/>
        </w:rPr>
        <w:t xml:space="preserve"> Pate</w:t>
      </w:r>
      <w:r w:rsidRPr="007D1011">
        <w:rPr>
          <w:rFonts w:ascii="Tahoma" w:hAnsi="Tahoma" w:cs="Tahoma"/>
          <w:sz w:val="22"/>
          <w:szCs w:val="22"/>
        </w:rPr>
        <w:t>) en lot unique</w:t>
      </w:r>
      <w:r w:rsidRPr="002A5A8C">
        <w:rPr>
          <w:sz w:val="28"/>
          <w:szCs w:val="28"/>
        </w:rPr>
        <w:t>.</w:t>
      </w:r>
    </w:p>
    <w:p w:rsidR="001A7236" w:rsidRPr="003565EA" w:rsidRDefault="001A7236" w:rsidP="001A7236">
      <w:pPr>
        <w:spacing w:after="200" w:line="276" w:lineRule="auto"/>
        <w:ind w:left="720"/>
        <w:contextualSpacing/>
        <w:rPr>
          <w:rFonts w:ascii="Tahoma" w:hAnsi="Tahoma" w:cs="Tahoma"/>
          <w:sz w:val="22"/>
          <w:szCs w:val="22"/>
          <w:lang w:val="fr-CA"/>
        </w:rPr>
      </w:pPr>
    </w:p>
    <w:p w:rsidR="001A7236" w:rsidRPr="003565EA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La passation du Marché sera conduite par Appel d’Offres International Ouvert tel que défini dans le Code des Marchés publics à l’article 50</w:t>
      </w:r>
      <w:r w:rsidRPr="00310DE2">
        <w:rPr>
          <w:rFonts w:ascii="Tahoma" w:hAnsi="Tahoma" w:cs="Tahoma"/>
          <w:iCs/>
          <w:sz w:val="22"/>
          <w:szCs w:val="22"/>
        </w:rPr>
        <w:t>,</w:t>
      </w:r>
      <w:r w:rsidRPr="00310DE2">
        <w:rPr>
          <w:rFonts w:ascii="Tahoma" w:hAnsi="Tahoma" w:cs="Tahoma"/>
          <w:sz w:val="22"/>
          <w:szCs w:val="22"/>
        </w:rPr>
        <w:t xml:space="preserve"> et ouvert à tous les candidats éligibles. </w:t>
      </w:r>
    </w:p>
    <w:p w:rsidR="001A7236" w:rsidRPr="003565EA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Les candidats intéressés peuvent obtenir les informations complémentaires auprès du Secrétariat Général de la Direction  Générale de la Pharmacie Populaire du Mali et prendre connaissance du Dossier d’Appel d’Offres à l’adresse mentionnée ci-après ( Avenue Moussa TRAVELE Porte 724 quartier du fleuve Bamako, MALI BP : 277  Téléphone : (223) 20 22 50 59 – (223) 20 22 50 93, Fax : (223) 20 22 90 34,           Mail :</w:t>
      </w:r>
      <w:hyperlink r:id="rId6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spdg@ppm-mali.com</w:t>
        </w:r>
      </w:hyperlink>
      <w:r w:rsidRPr="00310DE2">
        <w:rPr>
          <w:rFonts w:ascii="Tahoma" w:hAnsi="Tahoma" w:cs="Tahoma"/>
          <w:sz w:val="22"/>
          <w:szCs w:val="22"/>
        </w:rPr>
        <w:t xml:space="preserve">    Site Web : </w:t>
      </w:r>
      <w:hyperlink r:id="rId7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www.ppmmali.com</w:t>
        </w:r>
      </w:hyperlink>
      <w:r w:rsidRPr="00310DE2">
        <w:rPr>
          <w:rFonts w:ascii="Tahoma" w:hAnsi="Tahoma" w:cs="Tahoma"/>
          <w:iCs/>
          <w:sz w:val="22"/>
          <w:szCs w:val="22"/>
        </w:rPr>
        <w:t>), les jours ouvrables aux heures de service en vigueur</w:t>
      </w:r>
      <w:r w:rsidRPr="00310DE2">
        <w:rPr>
          <w:rFonts w:ascii="Tahoma" w:hAnsi="Tahoma" w:cs="Tahoma"/>
          <w:sz w:val="22"/>
          <w:szCs w:val="22"/>
        </w:rPr>
        <w:t>.</w:t>
      </w:r>
    </w:p>
    <w:p w:rsidR="001A7236" w:rsidRPr="00A5219F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A5219F">
        <w:rPr>
          <w:rFonts w:eastAsia="Calibri"/>
          <w:szCs w:val="24"/>
          <w:lang w:eastAsia="en-US"/>
        </w:rPr>
        <w:t xml:space="preserve">Les conditions de qualification applicables aux Soumissionnaires sont les suivantes : </w:t>
      </w:r>
    </w:p>
    <w:p w:rsidR="001A7236" w:rsidRPr="00A5219F" w:rsidRDefault="001A7236" w:rsidP="001A7236">
      <w:pPr>
        <w:spacing w:line="259" w:lineRule="auto"/>
        <w:ind w:left="539" w:hanging="539"/>
        <w:jc w:val="both"/>
        <w:rPr>
          <w:rFonts w:eastAsia="Calibri"/>
          <w:b/>
          <w:szCs w:val="24"/>
          <w:u w:val="single"/>
          <w:lang w:eastAsia="en-US"/>
        </w:rPr>
      </w:pPr>
      <w:r w:rsidRPr="00A5219F">
        <w:rPr>
          <w:rFonts w:eastAsia="Calibri"/>
          <w:b/>
          <w:szCs w:val="24"/>
          <w:u w:val="single"/>
          <w:lang w:eastAsia="en-US"/>
        </w:rPr>
        <w:t>Capacité financière</w:t>
      </w:r>
    </w:p>
    <w:p w:rsidR="001A7236" w:rsidRPr="002F1986" w:rsidRDefault="001A7236" w:rsidP="001A7236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2F1986">
        <w:rPr>
          <w:rFonts w:eastAsia="Calibri"/>
          <w:szCs w:val="24"/>
          <w:lang w:eastAsia="en-US"/>
        </w:rPr>
        <w:t xml:space="preserve">Le Soumissionnaire doit fournir la preuve écrite qu’il satisfait aux exigences ci-après : </w:t>
      </w:r>
      <w:r w:rsidRPr="002F1986">
        <w:rPr>
          <w:rFonts w:ascii="Calibri" w:eastAsia="Calibri" w:hAnsi="Calibri"/>
          <w:sz w:val="22"/>
          <w:szCs w:val="22"/>
          <w:lang w:eastAsia="en-US"/>
        </w:rPr>
        <w:t>Présenter en langue française les états financiers (bilans, extraits de bilans ou comptes d’exploitation), certifiés par un expert-comptable agrée ou attestés par un comptable agrée inscrit à l’ordre pour le</w:t>
      </w:r>
      <w:r>
        <w:rPr>
          <w:rFonts w:ascii="Calibri" w:eastAsia="Calibri" w:hAnsi="Calibri"/>
          <w:sz w:val="22"/>
          <w:szCs w:val="22"/>
          <w:lang w:eastAsia="en-US"/>
        </w:rPr>
        <w:t xml:space="preserve">s trois (03) derniers années </w:t>
      </w:r>
      <w:r w:rsidRPr="002F1986">
        <w:rPr>
          <w:rFonts w:ascii="Calibri" w:eastAsia="Calibri" w:hAnsi="Calibri"/>
          <w:sz w:val="22"/>
          <w:szCs w:val="22"/>
          <w:lang w:eastAsia="en-US"/>
        </w:rPr>
        <w:t>201</w:t>
      </w:r>
      <w:r>
        <w:rPr>
          <w:rFonts w:ascii="Calibri" w:eastAsia="Calibri" w:hAnsi="Calibri"/>
          <w:sz w:val="22"/>
          <w:szCs w:val="22"/>
          <w:lang w:eastAsia="en-US"/>
        </w:rPr>
        <w:t xml:space="preserve">7, </w:t>
      </w:r>
      <w:r w:rsidRPr="002F1986">
        <w:rPr>
          <w:rFonts w:ascii="Calibri" w:eastAsia="Calibri" w:hAnsi="Calibri"/>
          <w:sz w:val="22"/>
          <w:szCs w:val="22"/>
          <w:lang w:eastAsia="en-US"/>
        </w:rPr>
        <w:t>201</w:t>
      </w:r>
      <w:r>
        <w:rPr>
          <w:rFonts w:ascii="Calibri" w:eastAsia="Calibri" w:hAnsi="Calibri"/>
          <w:sz w:val="22"/>
          <w:szCs w:val="22"/>
          <w:lang w:eastAsia="en-US"/>
        </w:rPr>
        <w:t>8 et 2019</w:t>
      </w:r>
      <w:r w:rsidRPr="002F1986">
        <w:rPr>
          <w:rFonts w:ascii="Calibri" w:eastAsia="Calibri" w:hAnsi="Calibri"/>
          <w:sz w:val="22"/>
          <w:szCs w:val="22"/>
          <w:lang w:eastAsia="en-US"/>
        </w:rPr>
        <w:t>desquels on peut tirer les chiffres d’affaires</w:t>
      </w:r>
      <w:r>
        <w:rPr>
          <w:rFonts w:ascii="Calibri" w:eastAsia="Calibri" w:hAnsi="Calibri"/>
          <w:sz w:val="22"/>
          <w:szCs w:val="22"/>
          <w:lang w:eastAsia="en-US"/>
        </w:rPr>
        <w:t>. Sur</w:t>
      </w:r>
      <w:r w:rsidRPr="002F1986">
        <w:rPr>
          <w:rFonts w:ascii="Calibri" w:eastAsia="Calibri" w:hAnsi="Calibri"/>
          <w:sz w:val="22"/>
          <w:szCs w:val="22"/>
          <w:lang w:eastAsia="en-US"/>
        </w:rPr>
        <w:t xml:space="preserve"> ces bilans doit figurer la mention suivante apposé</w:t>
      </w:r>
      <w:r>
        <w:rPr>
          <w:rFonts w:ascii="Calibri" w:eastAsia="Calibri" w:hAnsi="Calibri"/>
          <w:sz w:val="22"/>
          <w:szCs w:val="22"/>
          <w:lang w:eastAsia="en-US"/>
        </w:rPr>
        <w:t>e</w:t>
      </w:r>
      <w:r w:rsidRPr="002F1986">
        <w:rPr>
          <w:rFonts w:ascii="Calibri" w:eastAsia="Calibri" w:hAnsi="Calibri"/>
          <w:sz w:val="22"/>
          <w:szCs w:val="22"/>
          <w:lang w:eastAsia="en-US"/>
        </w:rPr>
        <w:t xml:space="preserve"> par le service compétent  des Impôts « Bilans ou extrait de bilans conformes </w:t>
      </w:r>
      <w:r w:rsidRPr="00D06B01">
        <w:rPr>
          <w:rFonts w:ascii="Verdana" w:hAnsi="Verdana"/>
          <w:b/>
          <w:i/>
          <w:color w:val="000000"/>
          <w:sz w:val="18"/>
          <w:szCs w:val="18"/>
        </w:rPr>
        <w:t xml:space="preserve">aux déclarations souscrites au service </w:t>
      </w:r>
      <w:r w:rsidRPr="00D06B01">
        <w:rPr>
          <w:rFonts w:ascii="Calibri" w:eastAsia="Calibri" w:hAnsi="Calibri"/>
          <w:b/>
          <w:i/>
          <w:sz w:val="22"/>
          <w:szCs w:val="22"/>
          <w:lang w:eastAsia="en-US"/>
        </w:rPr>
        <w:t>des Impôts</w:t>
      </w:r>
      <w:r w:rsidRPr="002F1986">
        <w:rPr>
          <w:rFonts w:ascii="Calibri" w:eastAsia="Calibri" w:hAnsi="Calibri"/>
          <w:sz w:val="22"/>
          <w:szCs w:val="22"/>
          <w:lang w:eastAsia="en-US"/>
        </w:rPr>
        <w:t> » ;</w:t>
      </w:r>
    </w:p>
    <w:p w:rsidR="001A7236" w:rsidRPr="00144E55" w:rsidRDefault="001A7236" w:rsidP="001A7236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2F1986">
        <w:rPr>
          <w:rFonts w:ascii="Calibri" w:eastAsia="Calibri" w:hAnsi="Calibri"/>
          <w:sz w:val="22"/>
          <w:szCs w:val="22"/>
          <w:lang w:eastAsia="en-US"/>
        </w:rPr>
        <w:lastRenderedPageBreak/>
        <w:t>Avoir réalisé un chiffre d’affaires moyen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pour les</w:t>
      </w:r>
      <w:r w:rsidRPr="002F1986">
        <w:rPr>
          <w:rFonts w:ascii="Calibri" w:eastAsia="Calibri" w:hAnsi="Calibri"/>
          <w:sz w:val="22"/>
          <w:szCs w:val="22"/>
          <w:lang w:eastAsia="en-US"/>
        </w:rPr>
        <w:t xml:space="preserve"> trois </w:t>
      </w:r>
      <w:r>
        <w:rPr>
          <w:rFonts w:ascii="Calibri" w:eastAsia="Calibri" w:hAnsi="Calibri"/>
          <w:sz w:val="22"/>
          <w:szCs w:val="22"/>
          <w:lang w:eastAsia="en-US"/>
        </w:rPr>
        <w:t>(</w:t>
      </w:r>
      <w:r w:rsidRPr="002F1986">
        <w:rPr>
          <w:rFonts w:ascii="Calibri" w:eastAsia="Calibri" w:hAnsi="Calibri"/>
          <w:sz w:val="22"/>
          <w:szCs w:val="22"/>
          <w:lang w:eastAsia="en-US"/>
        </w:rPr>
        <w:t>03) dernières années (</w:t>
      </w:r>
      <w:r w:rsidRPr="00D06B01">
        <w:rPr>
          <w:rFonts w:ascii="Calibri" w:eastAsia="Calibri" w:hAnsi="Calibri"/>
          <w:b/>
          <w:sz w:val="22"/>
          <w:szCs w:val="22"/>
          <w:lang w:eastAsia="en-US"/>
        </w:rPr>
        <w:t>201</w:t>
      </w:r>
      <w:r>
        <w:rPr>
          <w:rFonts w:ascii="Calibri" w:eastAsia="Calibri" w:hAnsi="Calibri"/>
          <w:b/>
          <w:sz w:val="22"/>
          <w:szCs w:val="22"/>
          <w:lang w:eastAsia="en-US"/>
        </w:rPr>
        <w:t>7</w:t>
      </w:r>
      <w:r w:rsidRPr="00D06B01">
        <w:rPr>
          <w:rFonts w:ascii="Calibri" w:eastAsia="Calibri" w:hAnsi="Calibri"/>
          <w:b/>
          <w:sz w:val="22"/>
          <w:szCs w:val="22"/>
          <w:lang w:eastAsia="en-US"/>
        </w:rPr>
        <w:t>-201</w:t>
      </w:r>
      <w:r>
        <w:rPr>
          <w:rFonts w:ascii="Calibri" w:eastAsia="Calibri" w:hAnsi="Calibri"/>
          <w:b/>
          <w:sz w:val="22"/>
          <w:szCs w:val="22"/>
          <w:lang w:eastAsia="en-US"/>
        </w:rPr>
        <w:t>8 et 2019</w:t>
      </w:r>
      <w:r w:rsidRPr="00D06B01">
        <w:rPr>
          <w:rFonts w:ascii="Calibri" w:eastAsia="Calibri" w:hAnsi="Calibri"/>
          <w:b/>
          <w:sz w:val="22"/>
          <w:szCs w:val="22"/>
          <w:lang w:eastAsia="en-US"/>
        </w:rPr>
        <w:t xml:space="preserve">) </w:t>
      </w:r>
      <w:r w:rsidRPr="00D06B01">
        <w:rPr>
          <w:rFonts w:ascii="Calibri" w:eastAsia="Calibri" w:hAnsi="Calibri"/>
          <w:sz w:val="22"/>
          <w:szCs w:val="22"/>
          <w:lang w:eastAsia="en-US"/>
        </w:rPr>
        <w:t xml:space="preserve">au moins égal </w:t>
      </w:r>
      <w:r>
        <w:rPr>
          <w:rFonts w:ascii="Calibri" w:eastAsia="Calibri" w:hAnsi="Calibri"/>
          <w:sz w:val="22"/>
          <w:szCs w:val="22"/>
          <w:lang w:eastAsia="en-US"/>
        </w:rPr>
        <w:t>au montant de l’</w:t>
      </w:r>
      <w:r w:rsidRPr="00D06B01">
        <w:rPr>
          <w:rFonts w:ascii="Calibri" w:eastAsia="Calibri" w:hAnsi="Calibri"/>
          <w:sz w:val="22"/>
          <w:szCs w:val="22"/>
          <w:lang w:eastAsia="en-US"/>
        </w:rPr>
        <w:t>offre</w:t>
      </w:r>
      <w:r>
        <w:rPr>
          <w:rFonts w:ascii="Calibri" w:eastAsia="Calibri" w:hAnsi="Calibri"/>
          <w:sz w:val="22"/>
          <w:szCs w:val="22"/>
          <w:lang w:eastAsia="en-US"/>
        </w:rPr>
        <w:t>s,</w:t>
      </w:r>
      <w:r w:rsidRPr="00D06B01">
        <w:rPr>
          <w:rFonts w:ascii="Calibri" w:eastAsia="Calibri" w:hAnsi="Calibri"/>
          <w:sz w:val="22"/>
          <w:szCs w:val="22"/>
          <w:lang w:eastAsia="en-US"/>
        </w:rPr>
        <w:t xml:space="preserve"> ce chiffre d’affaire moyen doit être tiré des bilans ou états financiers sus indiquées</w:t>
      </w:r>
      <w:r w:rsidRPr="002F1986">
        <w:rPr>
          <w:rFonts w:ascii="Calibri" w:eastAsia="Calibri" w:hAnsi="Calibri"/>
          <w:sz w:val="22"/>
          <w:szCs w:val="22"/>
          <w:lang w:eastAsia="en-US"/>
        </w:rPr>
        <w:t> ;</w:t>
      </w:r>
    </w:p>
    <w:p w:rsidR="001A7236" w:rsidRPr="002F1986" w:rsidRDefault="001A7236" w:rsidP="001A723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ind w:left="420"/>
        <w:contextualSpacing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Les conditions à remplir pour les sociétés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nouvelement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créées sont les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suivsntes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 :</w:t>
      </w:r>
    </w:p>
    <w:p w:rsidR="001A7236" w:rsidRPr="009A50B0" w:rsidRDefault="001A7236" w:rsidP="001A7236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Pour l</w:t>
      </w:r>
      <w:r w:rsidRPr="003167E9">
        <w:rPr>
          <w:rFonts w:ascii="Calibri" w:eastAsia="Calibri" w:hAnsi="Calibri"/>
          <w:sz w:val="22"/>
          <w:szCs w:val="22"/>
          <w:lang w:eastAsia="en-US"/>
        </w:rPr>
        <w:t xml:space="preserve">es sociétés  nouvellement créées  et dont la date d’établissement du premier bilan n ‘est pas arrivée </w:t>
      </w:r>
      <w:r>
        <w:rPr>
          <w:rFonts w:ascii="Calibri" w:eastAsia="Calibri" w:hAnsi="Calibri"/>
          <w:sz w:val="22"/>
          <w:szCs w:val="22"/>
          <w:lang w:eastAsia="en-US"/>
        </w:rPr>
        <w:t xml:space="preserve">à la date dépôt des offres : elles sont dispensées de la présentation des états financiers et la preuve des expériences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simillaires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Toutefois, pour  l’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apréciation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experiences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la candidature de ces sociétés sera examinée au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regart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des capacités professionnelles et techniques par le biais des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experiences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et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réfférences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 leurs dirigeants ou collaborateurs sur la base de leurs CV et diplômes. </w:t>
      </w:r>
    </w:p>
    <w:p w:rsidR="001A7236" w:rsidRPr="009A50B0" w:rsidRDefault="001A7236" w:rsidP="001A7236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Pour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apprecier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leurs capacités financières, elles doivent fournir une attestation bancaire de ligne de crédit bancaire ou de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disponiblité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 fonds d’un montant au moins égal au montant de l’offre ;</w:t>
      </w:r>
    </w:p>
    <w:p w:rsidR="001A7236" w:rsidRPr="00A21259" w:rsidRDefault="001A7236" w:rsidP="001A7236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Pour les sociétés dont la date de création ou du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bébut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d’activité ne leur permet pas de fournir qu’un ou deux états financiers, elles doivent, en plus des états financiers fournis, une attestation bancaire de ligne de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credit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bancaire ou de disponibilité de fonds au moins égal à 30% du mont de l’offre.</w:t>
      </w:r>
    </w:p>
    <w:p w:rsidR="001A7236" w:rsidRPr="004654BD" w:rsidRDefault="001A7236" w:rsidP="001A7236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Pour l’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apreciation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 leurs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experiences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ces sociétés doivent fournir la preuve d’avoir réalisé au moins un marché similaire.</w:t>
      </w:r>
    </w:p>
    <w:p w:rsidR="001A7236" w:rsidRPr="00255DDE" w:rsidRDefault="001A7236" w:rsidP="001A723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line="259" w:lineRule="auto"/>
        <w:ind w:left="780"/>
        <w:contextualSpacing/>
        <w:jc w:val="both"/>
        <w:rPr>
          <w:rFonts w:ascii="Calibri" w:eastAsia="Calibri" w:hAnsi="Calibri"/>
          <w:szCs w:val="22"/>
          <w:lang w:eastAsia="en-US"/>
        </w:rPr>
      </w:pPr>
    </w:p>
    <w:p w:rsidR="001A7236" w:rsidRPr="00B57125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Les candidats intéressés peuvent consulter grat</w:t>
      </w:r>
      <w:r>
        <w:rPr>
          <w:rFonts w:ascii="Tahoma" w:hAnsi="Tahoma" w:cs="Tahoma"/>
          <w:sz w:val="22"/>
          <w:szCs w:val="22"/>
        </w:rPr>
        <w:t>uitement  le Dossier d’Appel d’O</w:t>
      </w:r>
      <w:r w:rsidRPr="00310DE2">
        <w:rPr>
          <w:rFonts w:ascii="Tahoma" w:hAnsi="Tahoma" w:cs="Tahoma"/>
          <w:sz w:val="22"/>
          <w:szCs w:val="22"/>
        </w:rPr>
        <w:t xml:space="preserve">ffres complet ou le retirer à titre onéreux contre paiement d’une somme non remboursable de </w:t>
      </w:r>
      <w:r>
        <w:rPr>
          <w:rFonts w:ascii="Tahoma" w:hAnsi="Tahoma" w:cs="Tahoma"/>
          <w:iCs/>
          <w:sz w:val="22"/>
          <w:szCs w:val="22"/>
        </w:rPr>
        <w:t>3</w:t>
      </w:r>
      <w:r w:rsidRPr="00310DE2">
        <w:rPr>
          <w:rFonts w:ascii="Tahoma" w:hAnsi="Tahoma" w:cs="Tahoma"/>
          <w:iCs/>
          <w:sz w:val="22"/>
          <w:szCs w:val="22"/>
        </w:rPr>
        <w:t>00 000 F CFA (</w:t>
      </w:r>
      <w:r>
        <w:rPr>
          <w:rFonts w:ascii="Tahoma" w:hAnsi="Tahoma" w:cs="Tahoma"/>
          <w:iCs/>
          <w:sz w:val="22"/>
          <w:szCs w:val="22"/>
        </w:rPr>
        <w:t xml:space="preserve">trois </w:t>
      </w:r>
      <w:r w:rsidRPr="00310DE2">
        <w:rPr>
          <w:rFonts w:ascii="Tahoma" w:hAnsi="Tahoma" w:cs="Tahoma"/>
          <w:iCs/>
          <w:sz w:val="22"/>
          <w:szCs w:val="22"/>
        </w:rPr>
        <w:t xml:space="preserve">Cent mille francs F CFA) </w:t>
      </w:r>
      <w:r w:rsidRPr="00310DE2">
        <w:rPr>
          <w:rFonts w:ascii="Tahoma" w:hAnsi="Tahoma" w:cs="Tahoma"/>
          <w:sz w:val="22"/>
          <w:szCs w:val="22"/>
        </w:rPr>
        <w:t>à l’adresse mentionnée ci-après : Avenue Moussa TRAVELE - Quartier du Fleuve  N° : 724 – BP : 277 Tel : (+223) 20 22 50 93  -  20 22 50 59  Fax : (+223) 20 22 90 34 Mail :</w:t>
      </w:r>
      <w:hyperlink r:id="rId8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spdg@ppm-mali.com</w:t>
        </w:r>
      </w:hyperlink>
      <w:r w:rsidRPr="00310DE2">
        <w:rPr>
          <w:rFonts w:ascii="Tahoma" w:hAnsi="Tahoma" w:cs="Tahoma"/>
          <w:sz w:val="22"/>
          <w:szCs w:val="22"/>
        </w:rPr>
        <w:t xml:space="preserve">    Site Web : </w:t>
      </w:r>
      <w:hyperlink r:id="rId9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www.ppmmali.com</w:t>
        </w:r>
      </w:hyperlink>
      <w:r>
        <w:t xml:space="preserve">.  </w:t>
      </w:r>
      <w:r w:rsidRPr="00310DE2">
        <w:rPr>
          <w:rFonts w:ascii="Tahoma" w:hAnsi="Tahoma" w:cs="Tahoma"/>
          <w:sz w:val="22"/>
          <w:szCs w:val="22"/>
        </w:rPr>
        <w:t>Cette somme peut être payée par chèque ou mandat international à l’ordre de la Pharmacie Populaire du Mali, ou par versement sur notre compte bancaire ouvert auprès de la Banque de Développement du Mali SA (BDM-SA) Bamako tel (223) 20 22 20 50/20 22 40 88, Fax (223</w:t>
      </w:r>
      <w:r>
        <w:rPr>
          <w:rFonts w:ascii="Tahoma" w:hAnsi="Tahoma" w:cs="Tahoma"/>
          <w:sz w:val="22"/>
          <w:szCs w:val="22"/>
        </w:rPr>
        <w:t xml:space="preserve">) </w:t>
      </w:r>
      <w:r w:rsidRPr="00310DE2">
        <w:rPr>
          <w:rFonts w:ascii="Tahoma" w:hAnsi="Tahoma" w:cs="Tahoma"/>
          <w:sz w:val="22"/>
          <w:szCs w:val="22"/>
        </w:rPr>
        <w:t>20 22 50 85 sous le numéro 204 01 00 1537-46 BDM SA/SIEGE BAMAKO</w:t>
      </w:r>
      <w:r w:rsidRPr="00310DE2">
        <w:rPr>
          <w:rFonts w:ascii="Tahoma" w:hAnsi="Tahoma" w:cs="Tahoma"/>
          <w:iCs/>
          <w:sz w:val="22"/>
          <w:szCs w:val="22"/>
        </w:rPr>
        <w:t>.</w:t>
      </w:r>
      <w:r w:rsidRPr="00310DE2">
        <w:rPr>
          <w:rFonts w:ascii="Tahoma" w:hAnsi="Tahoma" w:cs="Tahoma"/>
          <w:sz w:val="22"/>
          <w:szCs w:val="22"/>
        </w:rPr>
        <w:t xml:space="preserve"> Le Dossier d’Appel d’offres sera adressé par </w:t>
      </w:r>
      <w:r w:rsidRPr="00310DE2">
        <w:rPr>
          <w:rFonts w:ascii="Tahoma" w:hAnsi="Tahoma" w:cs="Tahoma"/>
          <w:iCs/>
          <w:sz w:val="22"/>
          <w:szCs w:val="22"/>
        </w:rPr>
        <w:t>retrait ou envoi électronique.</w:t>
      </w:r>
    </w:p>
    <w:p w:rsidR="001A7236" w:rsidRPr="008A3CC2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Les offres devront être soumises à l’adresse ci-après : Avenue Moussa TRAVELE - Quartier du Fleuve  N° : 724 – BP : 277 Tel : (+223) 20 22 50 93  -  20 22 50 59  Fax : (+223) 20 22 90 34Mail :</w:t>
      </w:r>
      <w:hyperlink r:id="rId10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spdg@ppm-mali.com</w:t>
        </w:r>
      </w:hyperlink>
      <w:r w:rsidRPr="00310DE2">
        <w:rPr>
          <w:rFonts w:ascii="Tahoma" w:hAnsi="Tahoma" w:cs="Tahoma"/>
          <w:sz w:val="22"/>
          <w:szCs w:val="22"/>
        </w:rPr>
        <w:t xml:space="preserve">    Site Web : </w:t>
      </w:r>
      <w:hyperlink r:id="rId11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www.ppmmali.com</w:t>
        </w:r>
      </w:hyperlink>
      <w:r w:rsidRPr="00C73535">
        <w:rPr>
          <w:rFonts w:ascii="Tahoma" w:hAnsi="Tahoma" w:cs="Tahoma"/>
          <w:color w:val="0000FF"/>
          <w:sz w:val="22"/>
          <w:szCs w:val="22"/>
        </w:rPr>
        <w:t xml:space="preserve">, </w:t>
      </w:r>
      <w:r w:rsidRPr="00310DE2">
        <w:rPr>
          <w:rFonts w:ascii="Tahoma" w:hAnsi="Tahoma" w:cs="Tahoma"/>
          <w:sz w:val="22"/>
          <w:szCs w:val="22"/>
        </w:rPr>
        <w:t xml:space="preserve">au plus tard </w:t>
      </w:r>
      <w:r w:rsidRPr="002A5A8C">
        <w:rPr>
          <w:rFonts w:ascii="Tahoma" w:hAnsi="Tahoma" w:cs="Tahoma"/>
          <w:color w:val="FF0000"/>
          <w:sz w:val="22"/>
          <w:szCs w:val="22"/>
        </w:rPr>
        <w:t>le 2021</w:t>
      </w:r>
      <w:r>
        <w:rPr>
          <w:rFonts w:ascii="Tahoma" w:hAnsi="Tahoma" w:cs="Tahoma"/>
          <w:iCs/>
          <w:sz w:val="22"/>
          <w:szCs w:val="22"/>
        </w:rPr>
        <w:t xml:space="preserve"> à 09</w:t>
      </w:r>
      <w:r w:rsidRPr="00310DE2">
        <w:rPr>
          <w:rFonts w:ascii="Tahoma" w:hAnsi="Tahoma" w:cs="Tahoma"/>
          <w:iCs/>
          <w:sz w:val="22"/>
          <w:szCs w:val="22"/>
        </w:rPr>
        <w:t xml:space="preserve"> h 00 mn</w:t>
      </w:r>
      <w:r w:rsidRPr="00310DE2">
        <w:rPr>
          <w:rFonts w:ascii="Tahoma" w:hAnsi="Tahoma" w:cs="Tahoma"/>
          <w:sz w:val="22"/>
          <w:szCs w:val="22"/>
        </w:rPr>
        <w:t>. Les offres remises en retard ne seront pas acceptées</w:t>
      </w:r>
      <w:r w:rsidRPr="008A3CC2">
        <w:rPr>
          <w:rFonts w:ascii="Tahoma" w:hAnsi="Tahoma" w:cs="Tahoma"/>
          <w:sz w:val="22"/>
          <w:szCs w:val="22"/>
        </w:rPr>
        <w:t xml:space="preserve">. </w:t>
      </w:r>
    </w:p>
    <w:p w:rsidR="001A7236" w:rsidRPr="00997B3C" w:rsidRDefault="001A7236" w:rsidP="001A7236">
      <w:pPr>
        <w:pStyle w:val="Paragraphedeliste"/>
        <w:numPr>
          <w:ilvl w:val="0"/>
          <w:numId w:val="2"/>
        </w:numPr>
        <w:spacing w:after="160" w:line="259" w:lineRule="auto"/>
        <w:rPr>
          <w:szCs w:val="24"/>
        </w:rPr>
      </w:pPr>
      <w:r w:rsidRPr="00E00D1F">
        <w:rPr>
          <w:rFonts w:ascii="Tahoma" w:hAnsi="Tahoma" w:cs="Tahoma"/>
          <w:sz w:val="22"/>
          <w:szCs w:val="22"/>
        </w:rPr>
        <w:t xml:space="preserve">Les offres doivent comprendre </w:t>
      </w:r>
      <w:r w:rsidRPr="00E00D1F">
        <w:rPr>
          <w:rFonts w:ascii="Tahoma" w:hAnsi="Tahoma" w:cs="Tahoma"/>
          <w:iCs/>
          <w:sz w:val="22"/>
          <w:szCs w:val="22"/>
        </w:rPr>
        <w:t>une garantie de soumission</w:t>
      </w:r>
      <w:r>
        <w:rPr>
          <w:rFonts w:ascii="Tahoma" w:hAnsi="Tahoma" w:cs="Tahoma"/>
          <w:iCs/>
          <w:sz w:val="22"/>
          <w:szCs w:val="22"/>
        </w:rPr>
        <w:t> :</w:t>
      </w:r>
      <w:r w:rsidRPr="00997B3C">
        <w:rPr>
          <w:rFonts w:ascii="Tahoma" w:hAnsi="Tahoma" w:cs="Tahoma"/>
          <w:iCs/>
          <w:sz w:val="22"/>
          <w:szCs w:val="22"/>
        </w:rPr>
        <w:t> </w:t>
      </w:r>
    </w:p>
    <w:tbl>
      <w:tblPr>
        <w:tblW w:w="8675" w:type="dxa"/>
        <w:tblInd w:w="80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8"/>
        <w:gridCol w:w="6697"/>
      </w:tblGrid>
      <w:tr w:rsidR="001A7236" w:rsidRPr="001A4160" w:rsidTr="008A17DA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236" w:rsidRPr="001A4160" w:rsidRDefault="001A7236" w:rsidP="008A17DA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>N°1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236" w:rsidRPr="001A4160" w:rsidRDefault="001A7236" w:rsidP="008A17D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>Montant caution/lot</w:t>
            </w:r>
            <w:r w:rsidRPr="001A4160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 en FCFA</w:t>
            </w:r>
          </w:p>
        </w:tc>
      </w:tr>
      <w:tr w:rsidR="001A7236" w:rsidTr="008A17DA">
        <w:trPr>
          <w:trHeight w:val="30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36" w:rsidRPr="00290A7C" w:rsidRDefault="001A7236" w:rsidP="008A17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36" w:rsidRDefault="001A7236" w:rsidP="008A17D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8.970.390</w:t>
            </w:r>
          </w:p>
        </w:tc>
      </w:tr>
    </w:tbl>
    <w:p w:rsidR="001A7236" w:rsidRPr="000A1566" w:rsidRDefault="001A7236" w:rsidP="001A7236">
      <w:pPr>
        <w:spacing w:line="276" w:lineRule="auto"/>
        <w:jc w:val="both"/>
        <w:rPr>
          <w:szCs w:val="24"/>
        </w:rPr>
      </w:pPr>
    </w:p>
    <w:p w:rsidR="001A7236" w:rsidRPr="00430329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Les Soumissionnaires resteront engagés par leur offre pendant une période de quatre vingt dix jours (90) à compter de la date limite du dépôt des offres comme spécifié au point 19.1 des IC et au DPAO</w:t>
      </w:r>
      <w:r>
        <w:rPr>
          <w:rFonts w:ascii="Tahoma" w:hAnsi="Tahoma" w:cs="Tahoma"/>
          <w:color w:val="0000FF"/>
          <w:sz w:val="22"/>
          <w:szCs w:val="22"/>
          <w:u w:val="single"/>
        </w:rPr>
        <w:t>.</w:t>
      </w:r>
    </w:p>
    <w:p w:rsidR="001A7236" w:rsidRPr="007D1011" w:rsidRDefault="001A7236" w:rsidP="001A7236">
      <w:pPr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310DE2">
        <w:rPr>
          <w:rFonts w:ascii="Tahoma" w:hAnsi="Tahoma" w:cs="Tahoma"/>
          <w:sz w:val="22"/>
          <w:szCs w:val="22"/>
        </w:rPr>
        <w:t>Les offres seront ouvertes en présence des représentants des soumissionnaires qui souhaitent ass</w:t>
      </w:r>
      <w:r>
        <w:rPr>
          <w:rFonts w:ascii="Tahoma" w:hAnsi="Tahoma" w:cs="Tahoma"/>
          <w:sz w:val="22"/>
          <w:szCs w:val="22"/>
        </w:rPr>
        <w:t xml:space="preserve">ister à l’ouverture des </w:t>
      </w:r>
      <w:r w:rsidRPr="002A5A8C">
        <w:rPr>
          <w:rFonts w:ascii="Tahoma" w:hAnsi="Tahoma" w:cs="Tahoma"/>
          <w:color w:val="FF0000"/>
          <w:sz w:val="22"/>
          <w:szCs w:val="22"/>
        </w:rPr>
        <w:t>plis …………………….2021</w:t>
      </w:r>
      <w:r w:rsidRPr="00310DE2">
        <w:rPr>
          <w:rFonts w:ascii="Tahoma" w:hAnsi="Tahoma" w:cs="Tahoma"/>
          <w:sz w:val="22"/>
          <w:szCs w:val="22"/>
        </w:rPr>
        <w:t xml:space="preserve"> à 10 h</w:t>
      </w:r>
      <w:r>
        <w:rPr>
          <w:rFonts w:ascii="Tahoma" w:hAnsi="Tahoma" w:cs="Tahoma"/>
          <w:sz w:val="22"/>
          <w:szCs w:val="22"/>
        </w:rPr>
        <w:t xml:space="preserve"> 00  mn TU à </w:t>
      </w:r>
      <w:r>
        <w:rPr>
          <w:rFonts w:ascii="Tahoma" w:hAnsi="Tahoma" w:cs="Tahoma"/>
          <w:sz w:val="22"/>
          <w:szCs w:val="22"/>
        </w:rPr>
        <w:lastRenderedPageBreak/>
        <w:t>l’adresse suivante </w:t>
      </w:r>
      <w:proofErr w:type="gramStart"/>
      <w:r>
        <w:rPr>
          <w:rFonts w:ascii="Tahoma" w:hAnsi="Tahoma" w:cs="Tahoma"/>
          <w:sz w:val="22"/>
          <w:szCs w:val="22"/>
        </w:rPr>
        <w:t>:</w:t>
      </w:r>
      <w:r w:rsidRPr="00310DE2">
        <w:rPr>
          <w:rFonts w:ascii="Tahoma" w:hAnsi="Tahoma" w:cs="Tahoma"/>
          <w:sz w:val="22"/>
          <w:szCs w:val="22"/>
        </w:rPr>
        <w:t>Direction</w:t>
      </w:r>
      <w:proofErr w:type="gramEnd"/>
      <w:r w:rsidRPr="00310DE2">
        <w:rPr>
          <w:rFonts w:ascii="Tahoma" w:hAnsi="Tahoma" w:cs="Tahoma"/>
          <w:sz w:val="22"/>
          <w:szCs w:val="22"/>
        </w:rPr>
        <w:t xml:space="preserve"> Générale de la Pharmacie Populaire du Mali Avenue Moussa TRAVELE - Quartier du Fleuve  N° : 724 – BP : 277 Tel : (+223) 20 22 50 93  -  20 22 50 59  Fax : (+223) 20 22 90 34Mail :</w:t>
      </w:r>
      <w:hyperlink r:id="rId12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spdg@ppm-mali.com</w:t>
        </w:r>
      </w:hyperlink>
      <w:r w:rsidRPr="00310DE2">
        <w:rPr>
          <w:rFonts w:ascii="Tahoma" w:hAnsi="Tahoma" w:cs="Tahoma"/>
          <w:sz w:val="22"/>
          <w:szCs w:val="22"/>
        </w:rPr>
        <w:t xml:space="preserve">    Site Web : </w:t>
      </w:r>
      <w:hyperlink r:id="rId13" w:history="1">
        <w:r w:rsidRPr="00310DE2">
          <w:rPr>
            <w:rFonts w:ascii="Tahoma" w:hAnsi="Tahoma" w:cs="Tahoma"/>
            <w:color w:val="0000FF"/>
            <w:sz w:val="22"/>
            <w:szCs w:val="22"/>
            <w:u w:val="single"/>
          </w:rPr>
          <w:t>www.ppmmali.com</w:t>
        </w:r>
      </w:hyperlink>
      <w:r>
        <w:rPr>
          <w:rFonts w:ascii="Tahoma" w:hAnsi="Tahoma" w:cs="Tahoma"/>
          <w:sz w:val="22"/>
          <w:szCs w:val="22"/>
        </w:rPr>
        <w:t>.</w:t>
      </w:r>
    </w:p>
    <w:p w:rsidR="001A7236" w:rsidRPr="007D1011" w:rsidRDefault="001A7236" w:rsidP="001A7236">
      <w:pPr>
        <w:ind w:left="930"/>
        <w:jc w:val="both"/>
        <w:rPr>
          <w:rFonts w:ascii="Verdana" w:hAnsi="Verdana"/>
          <w:b/>
          <w:sz w:val="20"/>
        </w:rPr>
      </w:pPr>
      <w:r w:rsidRPr="007D1011">
        <w:rPr>
          <w:rFonts w:ascii="Verdana" w:hAnsi="Verdana"/>
          <w:b/>
          <w:sz w:val="20"/>
        </w:rPr>
        <w:t xml:space="preserve">                                                     Le Président Directeur Général</w:t>
      </w:r>
    </w:p>
    <w:p w:rsidR="001A7236" w:rsidRPr="007D1011" w:rsidRDefault="001A7236" w:rsidP="001A7236">
      <w:pPr>
        <w:jc w:val="both"/>
        <w:rPr>
          <w:rFonts w:ascii="Verdana" w:hAnsi="Verdana"/>
          <w:b/>
          <w:sz w:val="20"/>
        </w:rPr>
      </w:pPr>
    </w:p>
    <w:p w:rsidR="001A7236" w:rsidRDefault="001A7236" w:rsidP="001A7236">
      <w:pPr>
        <w:ind w:left="930"/>
        <w:jc w:val="both"/>
        <w:rPr>
          <w:rFonts w:ascii="Verdana" w:hAnsi="Verdana"/>
          <w:b/>
          <w:sz w:val="20"/>
        </w:rPr>
      </w:pPr>
      <w:r w:rsidRPr="007D1011">
        <w:rPr>
          <w:rFonts w:ascii="Verdana" w:hAnsi="Verdana"/>
          <w:b/>
          <w:sz w:val="20"/>
        </w:rPr>
        <w:tab/>
      </w:r>
      <w:r w:rsidRPr="007D1011">
        <w:rPr>
          <w:rFonts w:ascii="Verdana" w:hAnsi="Verdana"/>
          <w:b/>
          <w:sz w:val="20"/>
        </w:rPr>
        <w:tab/>
      </w:r>
      <w:r w:rsidRPr="007D1011">
        <w:rPr>
          <w:rFonts w:ascii="Verdana" w:hAnsi="Verdana"/>
          <w:b/>
          <w:sz w:val="20"/>
        </w:rPr>
        <w:tab/>
      </w:r>
      <w:r w:rsidRPr="007D1011">
        <w:rPr>
          <w:rFonts w:ascii="Verdana" w:hAnsi="Verdana"/>
          <w:b/>
          <w:sz w:val="20"/>
        </w:rPr>
        <w:tab/>
      </w:r>
      <w:r w:rsidRPr="007D1011">
        <w:rPr>
          <w:rFonts w:ascii="Verdana" w:hAnsi="Verdana"/>
          <w:b/>
          <w:sz w:val="20"/>
        </w:rPr>
        <w:tab/>
      </w:r>
    </w:p>
    <w:p w:rsidR="001A7236" w:rsidRPr="007D1011" w:rsidRDefault="001A7236" w:rsidP="001A7236">
      <w:pPr>
        <w:ind w:left="930"/>
        <w:jc w:val="center"/>
        <w:rPr>
          <w:rFonts w:ascii="Tahoma" w:hAnsi="Tahoma" w:cs="Tahoma"/>
          <w:b/>
          <w:sz w:val="22"/>
          <w:szCs w:val="22"/>
        </w:rPr>
      </w:pPr>
      <w:r w:rsidRPr="007D1011">
        <w:rPr>
          <w:rFonts w:ascii="Tahoma" w:hAnsi="Tahoma" w:cs="Tahoma"/>
          <w:b/>
          <w:sz w:val="22"/>
          <w:szCs w:val="22"/>
        </w:rPr>
        <w:t xml:space="preserve">Dr. </w:t>
      </w:r>
      <w:proofErr w:type="spellStart"/>
      <w:r w:rsidRPr="007D1011">
        <w:rPr>
          <w:rFonts w:ascii="Tahoma" w:hAnsi="Tahoma" w:cs="Tahoma"/>
          <w:b/>
          <w:sz w:val="22"/>
          <w:szCs w:val="22"/>
        </w:rPr>
        <w:t>Mamady</w:t>
      </w:r>
      <w:proofErr w:type="spellEnd"/>
      <w:r w:rsidRPr="007D1011">
        <w:rPr>
          <w:rFonts w:ascii="Tahoma" w:hAnsi="Tahoma" w:cs="Tahoma"/>
          <w:b/>
          <w:sz w:val="22"/>
          <w:szCs w:val="22"/>
        </w:rPr>
        <w:t xml:space="preserve"> SISSOKO</w:t>
      </w:r>
    </w:p>
    <w:p w:rsidR="001A7236" w:rsidRPr="007D1011" w:rsidRDefault="001A7236" w:rsidP="001A7236">
      <w:pPr>
        <w:ind w:left="930"/>
        <w:jc w:val="both"/>
        <w:rPr>
          <w:rFonts w:eastAsia="Calibri"/>
          <w:b/>
          <w:szCs w:val="24"/>
          <w:lang w:eastAsia="en-US"/>
        </w:rPr>
      </w:pPr>
      <w:r w:rsidRPr="007D1011">
        <w:rPr>
          <w:rFonts w:ascii="Tahoma" w:hAnsi="Tahoma" w:cs="Tahoma"/>
          <w:b/>
          <w:sz w:val="22"/>
          <w:szCs w:val="22"/>
        </w:rPr>
        <w:tab/>
      </w:r>
      <w:r w:rsidRPr="007D1011">
        <w:rPr>
          <w:rFonts w:ascii="Tahoma" w:hAnsi="Tahoma" w:cs="Tahoma"/>
          <w:b/>
          <w:sz w:val="22"/>
          <w:szCs w:val="22"/>
        </w:rPr>
        <w:tab/>
      </w:r>
      <w:r w:rsidRPr="007D1011">
        <w:rPr>
          <w:rFonts w:ascii="Tahoma" w:hAnsi="Tahoma" w:cs="Tahoma"/>
          <w:b/>
          <w:sz w:val="22"/>
          <w:szCs w:val="22"/>
        </w:rPr>
        <w:tab/>
      </w:r>
      <w:r w:rsidRPr="007D1011">
        <w:rPr>
          <w:rFonts w:ascii="Tahoma" w:hAnsi="Tahoma" w:cs="Tahoma"/>
          <w:b/>
          <w:sz w:val="22"/>
          <w:szCs w:val="22"/>
        </w:rPr>
        <w:tab/>
        <w:t xml:space="preserve">              Chargé de recherche</w:t>
      </w:r>
    </w:p>
    <w:p w:rsidR="00D661B8" w:rsidRDefault="00D661B8"/>
    <w:sectPr w:rsidR="00D661B8" w:rsidSect="00D6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D98"/>
    <w:multiLevelType w:val="hybridMultilevel"/>
    <w:tmpl w:val="569621D2"/>
    <w:lvl w:ilvl="0" w:tplc="05D8AF66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4ED1FA5"/>
    <w:multiLevelType w:val="multilevel"/>
    <w:tmpl w:val="7490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6E50E5A"/>
    <w:multiLevelType w:val="hybridMultilevel"/>
    <w:tmpl w:val="754430F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236"/>
    <w:rsid w:val="001A7236"/>
    <w:rsid w:val="00D6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1A723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1A723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2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23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dg@ppm-mali.com" TargetMode="External"/><Relationship Id="rId13" Type="http://schemas.openxmlformats.org/officeDocument/2006/relationships/hyperlink" Target="http://www.ppmma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mmali.com" TargetMode="External"/><Relationship Id="rId12" Type="http://schemas.openxmlformats.org/officeDocument/2006/relationships/hyperlink" Target="mailto:spdg@ppm-ma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dg@ppm-mali.com" TargetMode="External"/><Relationship Id="rId11" Type="http://schemas.openxmlformats.org/officeDocument/2006/relationships/hyperlink" Target="http://www.ppmmali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pdg@ppm-ma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pmmal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2021-07-19T12:19:00Z</dcterms:created>
  <dcterms:modified xsi:type="dcterms:W3CDTF">2021-07-19T12:20:00Z</dcterms:modified>
</cp:coreProperties>
</file>