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9B0" w:rsidRPr="00BE74F4" w:rsidRDefault="009A09B0" w:rsidP="009A09B0">
      <w:pPr>
        <w:suppressAutoHyphens/>
        <w:spacing w:line="276" w:lineRule="auto"/>
        <w:jc w:val="center"/>
        <w:rPr>
          <w:b/>
          <w:sz w:val="36"/>
          <w:szCs w:val="36"/>
        </w:rPr>
      </w:pPr>
      <w:r w:rsidRPr="00A8181E">
        <w:rPr>
          <w:b/>
          <w:sz w:val="36"/>
          <w:szCs w:val="36"/>
        </w:rPr>
        <w:t>Avis d’Appel d’Offres</w:t>
      </w:r>
    </w:p>
    <w:p w:rsidR="009A09B0" w:rsidRPr="00C43045" w:rsidRDefault="009A09B0" w:rsidP="009A09B0">
      <w:pPr>
        <w:suppressAutoHyphens/>
        <w:spacing w:line="276" w:lineRule="auto"/>
        <w:jc w:val="center"/>
        <w:rPr>
          <w:b/>
          <w:sz w:val="28"/>
          <w:szCs w:val="28"/>
        </w:rPr>
      </w:pPr>
      <w:r>
        <w:rPr>
          <w:b/>
          <w:sz w:val="28"/>
          <w:szCs w:val="28"/>
        </w:rPr>
        <w:t>Ministère des Mines de l’Energie et de l’Eau (MMEE)</w:t>
      </w:r>
    </w:p>
    <w:p w:rsidR="009A09B0" w:rsidRPr="00C43045" w:rsidRDefault="009A09B0" w:rsidP="009A09B0">
      <w:pPr>
        <w:spacing w:line="276" w:lineRule="auto"/>
        <w:jc w:val="center"/>
        <w:rPr>
          <w:b/>
          <w:sz w:val="28"/>
          <w:szCs w:val="28"/>
        </w:rPr>
      </w:pPr>
      <w:r w:rsidRPr="00C43045">
        <w:rPr>
          <w:b/>
          <w:bCs/>
          <w:noProof/>
          <w:sz w:val="28"/>
          <w:szCs w:val="28"/>
        </w:rPr>
        <w:t>Projet de Gouvernance du Secteur des Mines (PGSM)</w:t>
      </w:r>
    </w:p>
    <w:p w:rsidR="009A09B0" w:rsidRPr="00E16665" w:rsidRDefault="009A09B0" w:rsidP="009A09B0">
      <w:pPr>
        <w:suppressAutoHyphens/>
        <w:jc w:val="both"/>
        <w:rPr>
          <w:sz w:val="12"/>
        </w:rPr>
      </w:pPr>
    </w:p>
    <w:p w:rsidR="009A09B0" w:rsidRPr="005D048B" w:rsidRDefault="009A09B0" w:rsidP="009A09B0">
      <w:pPr>
        <w:suppressAutoHyphens/>
        <w:spacing w:line="276" w:lineRule="auto"/>
        <w:jc w:val="center"/>
        <w:rPr>
          <w:b/>
          <w:sz w:val="28"/>
          <w:szCs w:val="36"/>
          <w:lang w:val="en-US"/>
        </w:rPr>
      </w:pPr>
      <w:r w:rsidRPr="005D048B">
        <w:rPr>
          <w:b/>
          <w:sz w:val="28"/>
          <w:szCs w:val="36"/>
          <w:lang w:val="en-US"/>
        </w:rPr>
        <w:t xml:space="preserve">AAO </w:t>
      </w:r>
      <w:r w:rsidR="00BC1740">
        <w:rPr>
          <w:b/>
          <w:sz w:val="28"/>
          <w:szCs w:val="36"/>
          <w:lang w:val="en-US"/>
        </w:rPr>
        <w:t>N°001-F/UCP</w:t>
      </w:r>
      <w:r>
        <w:rPr>
          <w:b/>
          <w:sz w:val="28"/>
          <w:szCs w:val="36"/>
          <w:lang w:val="en-US"/>
        </w:rPr>
        <w:t>-PGSM-MMEE-2021</w:t>
      </w:r>
    </w:p>
    <w:p w:rsidR="009A09B0" w:rsidRPr="002D470D" w:rsidRDefault="009A09B0" w:rsidP="00BB33B7">
      <w:pPr>
        <w:jc w:val="center"/>
        <w:rPr>
          <w:rFonts w:ascii="Book Antiqua" w:hAnsi="Book Antiqua"/>
          <w:b/>
          <w:sz w:val="36"/>
          <w:szCs w:val="36"/>
        </w:rPr>
      </w:pPr>
      <w:r w:rsidRPr="002D470D">
        <w:rPr>
          <w:rFonts w:ascii="Book Antiqua" w:hAnsi="Book Antiqua"/>
          <w:b/>
          <w:bCs/>
          <w:sz w:val="28"/>
          <w:szCs w:val="28"/>
        </w:rPr>
        <w:t xml:space="preserve">Acquisition et </w:t>
      </w:r>
      <w:r w:rsidR="00712E99">
        <w:rPr>
          <w:rFonts w:ascii="Book Antiqua" w:hAnsi="Book Antiqua"/>
          <w:b/>
          <w:bCs/>
          <w:sz w:val="28"/>
          <w:szCs w:val="28"/>
        </w:rPr>
        <w:t>l’</w:t>
      </w:r>
      <w:bookmarkStart w:id="0" w:name="_GoBack"/>
      <w:bookmarkEnd w:id="0"/>
      <w:r w:rsidRPr="002D470D">
        <w:rPr>
          <w:rFonts w:ascii="Book Antiqua" w:hAnsi="Book Antiqua"/>
          <w:b/>
          <w:bCs/>
          <w:sz w:val="28"/>
          <w:szCs w:val="28"/>
        </w:rPr>
        <w:t xml:space="preserve">installation </w:t>
      </w:r>
      <w:r>
        <w:rPr>
          <w:rFonts w:ascii="Book Antiqua" w:hAnsi="Book Antiqua"/>
          <w:b/>
          <w:bCs/>
          <w:sz w:val="28"/>
          <w:szCs w:val="28"/>
        </w:rPr>
        <w:t xml:space="preserve">des </w:t>
      </w:r>
      <w:r>
        <w:rPr>
          <w:rFonts w:ascii="Book Antiqua" w:hAnsi="Book Antiqua"/>
          <w:b/>
          <w:sz w:val="28"/>
          <w:szCs w:val="36"/>
        </w:rPr>
        <w:t>é</w:t>
      </w:r>
      <w:r w:rsidRPr="002D470D">
        <w:rPr>
          <w:rFonts w:ascii="Book Antiqua" w:hAnsi="Book Antiqua"/>
          <w:b/>
          <w:sz w:val="28"/>
          <w:szCs w:val="36"/>
        </w:rPr>
        <w:t>quipements pour la surveillance et le suivi environne</w:t>
      </w:r>
      <w:r>
        <w:rPr>
          <w:rFonts w:ascii="Book Antiqua" w:hAnsi="Book Antiqua"/>
          <w:b/>
          <w:sz w:val="28"/>
          <w:szCs w:val="36"/>
        </w:rPr>
        <w:t>mental des impacts de l’activité</w:t>
      </w:r>
      <w:r w:rsidRPr="002D470D">
        <w:rPr>
          <w:rFonts w:ascii="Book Antiqua" w:hAnsi="Book Antiqua"/>
          <w:b/>
          <w:sz w:val="28"/>
          <w:szCs w:val="36"/>
        </w:rPr>
        <w:t xml:space="preserve"> mini</w:t>
      </w:r>
      <w:r>
        <w:rPr>
          <w:rFonts w:ascii="Book Antiqua" w:hAnsi="Book Antiqua"/>
          <w:b/>
          <w:sz w:val="28"/>
          <w:szCs w:val="36"/>
        </w:rPr>
        <w:t>è</w:t>
      </w:r>
      <w:r w:rsidRPr="002D470D">
        <w:rPr>
          <w:rFonts w:ascii="Book Antiqua" w:hAnsi="Book Antiqua"/>
          <w:b/>
          <w:sz w:val="28"/>
          <w:szCs w:val="36"/>
        </w:rPr>
        <w:t>re d</w:t>
      </w:r>
      <w:r>
        <w:rPr>
          <w:rFonts w:ascii="Book Antiqua" w:hAnsi="Book Antiqua"/>
          <w:b/>
          <w:sz w:val="28"/>
          <w:szCs w:val="36"/>
        </w:rPr>
        <w:t>ans les ré</w:t>
      </w:r>
      <w:r w:rsidRPr="002D470D">
        <w:rPr>
          <w:rFonts w:ascii="Book Antiqua" w:hAnsi="Book Antiqua"/>
          <w:b/>
          <w:sz w:val="28"/>
          <w:szCs w:val="36"/>
        </w:rPr>
        <w:t>gions de Kayes et de Sikasso</w:t>
      </w:r>
      <w:r>
        <w:rPr>
          <w:rFonts w:ascii="Book Antiqua" w:hAnsi="Book Antiqua"/>
          <w:b/>
          <w:sz w:val="28"/>
          <w:szCs w:val="36"/>
        </w:rPr>
        <w:t>.</w:t>
      </w:r>
    </w:p>
    <w:p w:rsidR="009A09B0" w:rsidRPr="00E16665" w:rsidRDefault="009A09B0" w:rsidP="009A09B0">
      <w:pPr>
        <w:tabs>
          <w:tab w:val="right" w:pos="6300"/>
          <w:tab w:val="left" w:pos="6480"/>
          <w:tab w:val="right" w:pos="9000"/>
        </w:tabs>
        <w:suppressAutoHyphens/>
        <w:jc w:val="center"/>
        <w:rPr>
          <w:b/>
          <w:bCs/>
          <w:sz w:val="12"/>
          <w:szCs w:val="28"/>
        </w:rPr>
      </w:pPr>
    </w:p>
    <w:p w:rsidR="009A09B0" w:rsidRPr="00715E62" w:rsidRDefault="009A09B0" w:rsidP="009A09B0">
      <w:pPr>
        <w:jc w:val="both"/>
        <w:rPr>
          <w:rFonts w:ascii="Book Antiqua" w:hAnsi="Book Antiqua"/>
          <w:b/>
          <w:sz w:val="36"/>
          <w:szCs w:val="36"/>
        </w:rPr>
      </w:pPr>
      <w:r>
        <w:t xml:space="preserve">Le Gouvernement de la République du Mali a reçu un fonds de l’Association de </w:t>
      </w:r>
      <w:r w:rsidRPr="0055150C">
        <w:t>l’</w:t>
      </w:r>
      <w:r w:rsidRPr="002D470D">
        <w:rPr>
          <w:szCs w:val="24"/>
        </w:rPr>
        <w:t>Association</w:t>
      </w:r>
      <w:r w:rsidRPr="0055150C">
        <w:t xml:space="preserve"> </w:t>
      </w:r>
      <w:r>
        <w:t xml:space="preserve">Internationale pour le Développement (IDA), pour financer le </w:t>
      </w:r>
      <w:r w:rsidRPr="00646E88">
        <w:t>Projet de</w:t>
      </w:r>
      <w:r w:rsidRPr="002D470D">
        <w:rPr>
          <w:b/>
          <w:bCs/>
          <w:noProof/>
          <w:sz w:val="28"/>
          <w:szCs w:val="28"/>
        </w:rPr>
        <w:t xml:space="preserve"> </w:t>
      </w:r>
      <w:r w:rsidRPr="00646E88">
        <w:t>Gouvernance du Secteur des Mines</w:t>
      </w:r>
      <w:r w:rsidRPr="002D470D">
        <w:rPr>
          <w:b/>
          <w:bCs/>
          <w:noProof/>
          <w:sz w:val="28"/>
          <w:szCs w:val="28"/>
        </w:rPr>
        <w:t xml:space="preserve"> </w:t>
      </w:r>
      <w:r w:rsidRPr="002D470D">
        <w:rPr>
          <w:noProof/>
          <w:sz w:val="28"/>
          <w:szCs w:val="28"/>
        </w:rPr>
        <w:t>(PGSM)</w:t>
      </w:r>
      <w:r w:rsidRPr="002D470D">
        <w:rPr>
          <w:b/>
          <w:bCs/>
          <w:noProof/>
          <w:sz w:val="28"/>
          <w:szCs w:val="28"/>
        </w:rPr>
        <w:t xml:space="preserve"> </w:t>
      </w:r>
      <w:r>
        <w:t xml:space="preserve">et a l’intention d’utiliser une partie de ce fonds pour effectuer des paiements au titre du marché </w:t>
      </w:r>
      <w:r w:rsidRPr="00715E62">
        <w:rPr>
          <w:b/>
        </w:rPr>
        <w:t>d’acquisition et installation des équipements pour la surveillance et le suivi environnemental des impacts de l’activité minière dans les régions de Kayes et de Sikasso</w:t>
      </w:r>
      <w:r w:rsidRPr="00715E62">
        <w:rPr>
          <w:rFonts w:ascii="Book Antiqua" w:hAnsi="Book Antiqua"/>
          <w:b/>
          <w:szCs w:val="36"/>
        </w:rPr>
        <w:t>.</w:t>
      </w:r>
    </w:p>
    <w:p w:rsidR="009A09B0" w:rsidRPr="00E16665" w:rsidRDefault="009A09B0" w:rsidP="009A09B0">
      <w:pPr>
        <w:pStyle w:val="Paragraphedeliste"/>
        <w:ind w:left="284"/>
        <w:rPr>
          <w:sz w:val="12"/>
        </w:rPr>
      </w:pPr>
    </w:p>
    <w:p w:rsidR="009A09B0" w:rsidRDefault="009A09B0" w:rsidP="00E16665">
      <w:r w:rsidRPr="00627350">
        <w:t xml:space="preserve">Le </w:t>
      </w:r>
      <w:r>
        <w:t>Coordonnateur</w:t>
      </w:r>
      <w:r w:rsidRPr="00627350">
        <w:t xml:space="preserve"> d</w:t>
      </w:r>
      <w:r>
        <w:t xml:space="preserve">u </w:t>
      </w:r>
      <w:r w:rsidRPr="00646E88">
        <w:t>Projet de</w:t>
      </w:r>
      <w:r w:rsidRPr="00E16665">
        <w:rPr>
          <w:b/>
          <w:bCs/>
          <w:noProof/>
          <w:sz w:val="28"/>
          <w:szCs w:val="28"/>
        </w:rPr>
        <w:t xml:space="preserve"> </w:t>
      </w:r>
      <w:r w:rsidRPr="00646E88">
        <w:t xml:space="preserve">Gouvernance du </w:t>
      </w:r>
      <w:r w:rsidRPr="009734BD">
        <w:t>Secteur des Mines</w:t>
      </w:r>
      <w:r w:rsidRPr="00E16665">
        <w:rPr>
          <w:bCs/>
          <w:noProof/>
          <w:sz w:val="28"/>
          <w:szCs w:val="28"/>
        </w:rPr>
        <w:t xml:space="preserve"> (</w:t>
      </w:r>
      <w:r w:rsidRPr="009734BD">
        <w:t>PGSM) sollicite</w:t>
      </w:r>
      <w:r w:rsidRPr="00627350">
        <w:t xml:space="preserve"> des offres fermées de la part de soumissionnaires éligibles et répondant aux qualif</w:t>
      </w:r>
      <w:r>
        <w:t>ications requises pour fournir ces équipements.</w:t>
      </w:r>
    </w:p>
    <w:p w:rsidR="009A09B0" w:rsidRPr="00E16665" w:rsidRDefault="009A09B0" w:rsidP="009A09B0">
      <w:pPr>
        <w:pStyle w:val="Paragraphedeliste"/>
        <w:rPr>
          <w:sz w:val="8"/>
          <w:szCs w:val="16"/>
        </w:rPr>
      </w:pPr>
    </w:p>
    <w:p w:rsidR="009A09B0" w:rsidRDefault="009A09B0" w:rsidP="00E16665">
      <w:r>
        <w:t>La passation du marché sera conduite par appel d’offres national (AON) tel que défini dans le nouveau règlement de la Passation des Marchés de fournitures, de travaux et de services (autres que les services de consultant par les emprunteurs de la Banque Mondiale dans le cadre des prêts de la BIRD et des Crédits et Dons de l’AID » et ouvert à tous les soumissionnaires de pays éligibles tels que définis dans les directives.</w:t>
      </w:r>
    </w:p>
    <w:p w:rsidR="009A09B0" w:rsidRPr="00E16665" w:rsidRDefault="009A09B0" w:rsidP="009A09B0">
      <w:pPr>
        <w:rPr>
          <w:sz w:val="8"/>
        </w:rPr>
      </w:pPr>
    </w:p>
    <w:p w:rsidR="009A09B0" w:rsidRPr="00D27F95" w:rsidRDefault="009A09B0" w:rsidP="00E16665">
      <w:r w:rsidRPr="000B6BDB">
        <w:t>Les soumissionnaires éligibles et intéressés peuvent obtenir des informations auprès d</w:t>
      </w:r>
      <w:r>
        <w:t xml:space="preserve">u </w:t>
      </w:r>
      <w:r w:rsidRPr="00646E88">
        <w:t>Projet de</w:t>
      </w:r>
      <w:r w:rsidRPr="00E16665">
        <w:rPr>
          <w:b/>
          <w:bCs/>
          <w:noProof/>
          <w:sz w:val="28"/>
          <w:szCs w:val="28"/>
        </w:rPr>
        <w:t xml:space="preserve"> </w:t>
      </w:r>
      <w:r w:rsidRPr="00646E88">
        <w:t>Gouvernance du Secteur des Mines</w:t>
      </w:r>
      <w:r w:rsidRPr="00E16665">
        <w:rPr>
          <w:b/>
          <w:bCs/>
          <w:noProof/>
          <w:sz w:val="28"/>
          <w:szCs w:val="28"/>
        </w:rPr>
        <w:t xml:space="preserve"> </w:t>
      </w:r>
      <w:r w:rsidRPr="00E16665">
        <w:rPr>
          <w:noProof/>
          <w:sz w:val="28"/>
          <w:szCs w:val="28"/>
        </w:rPr>
        <w:t>(PGSM)</w:t>
      </w:r>
      <w:r>
        <w:t xml:space="preserve"> sis au 3</w:t>
      </w:r>
      <w:r w:rsidRPr="00E16665">
        <w:rPr>
          <w:vertAlign w:val="superscript"/>
        </w:rPr>
        <w:t>ème</w:t>
      </w:r>
      <w:r>
        <w:t xml:space="preserve"> étage à l’Immeuble du Conseil National du Patronat Malien (CNPM) face au Gouvernorat du District de Bamako au quartier Hamdallaye ACI 2000 ; Email : </w:t>
      </w:r>
      <w:hyperlink r:id="rId5" w:history="1">
        <w:r w:rsidRPr="009A09B0">
          <w:t>pgouvernance@gmail.com</w:t>
        </w:r>
      </w:hyperlink>
      <w:r>
        <w:t xml:space="preserve"> </w:t>
      </w:r>
      <w:r w:rsidRPr="00E16665">
        <w:rPr>
          <w:color w:val="00B0F0"/>
        </w:rPr>
        <w:t xml:space="preserve">; </w:t>
      </w:r>
      <w:hyperlink r:id="rId6" w:history="1">
        <w:r w:rsidRPr="009A09B0">
          <w:t>doumabou24@gmail.com</w:t>
        </w:r>
      </w:hyperlink>
      <w:r w:rsidRPr="009A09B0">
        <w:t xml:space="preserve"> ;</w:t>
      </w:r>
      <w:r w:rsidRPr="00E16665">
        <w:rPr>
          <w:b/>
          <w:bCs/>
        </w:rPr>
        <w:t xml:space="preserve"> Tél. 76 12 41 61</w:t>
      </w:r>
      <w:r w:rsidRPr="00AF1133">
        <w:t xml:space="preserve"> et </w:t>
      </w:r>
      <w:r>
        <w:t xml:space="preserve">prendre connaissance des documents d’Appel </w:t>
      </w:r>
      <w:r w:rsidRPr="000B6BDB">
        <w:t>d’offres à l’adresse ci-dessus tous les jours ouvrables de 8 H 00 à 1</w:t>
      </w:r>
      <w:r>
        <w:t>4</w:t>
      </w:r>
      <w:r w:rsidRPr="000B6BDB">
        <w:t xml:space="preserve"> H 00 mn.</w:t>
      </w:r>
    </w:p>
    <w:p w:rsidR="009A09B0" w:rsidRPr="00E16665" w:rsidRDefault="009A09B0" w:rsidP="009A09B0">
      <w:pPr>
        <w:pStyle w:val="Sansinterligne"/>
        <w:ind w:left="567"/>
        <w:rPr>
          <w:sz w:val="8"/>
        </w:rPr>
      </w:pPr>
    </w:p>
    <w:p w:rsidR="009A09B0" w:rsidRDefault="009A09B0" w:rsidP="00E16665">
      <w:r w:rsidRPr="009E2266">
        <w:t>L</w:t>
      </w:r>
      <w:r>
        <w:t xml:space="preserve">es exigences en matière de qualification sont : </w:t>
      </w:r>
    </w:p>
    <w:p w:rsidR="009A09B0" w:rsidRPr="00E16665" w:rsidRDefault="009A09B0" w:rsidP="009A09B0">
      <w:pPr>
        <w:rPr>
          <w:sz w:val="12"/>
        </w:rPr>
      </w:pPr>
    </w:p>
    <w:p w:rsidR="009A09B0" w:rsidRDefault="009A09B0" w:rsidP="009A09B0">
      <w:pPr>
        <w:ind w:left="540" w:hanging="540"/>
        <w:contextualSpacing/>
        <w:jc w:val="both"/>
        <w:rPr>
          <w:b/>
        </w:rPr>
      </w:pPr>
      <w:r>
        <w:t xml:space="preserve">a) </w:t>
      </w:r>
      <w:r>
        <w:tab/>
      </w:r>
      <w:r w:rsidRPr="00B30809">
        <w:rPr>
          <w:b/>
        </w:rPr>
        <w:t>Capacité financière</w:t>
      </w:r>
    </w:p>
    <w:p w:rsidR="009A09B0" w:rsidRPr="00E16665" w:rsidRDefault="009A09B0" w:rsidP="009A09B0">
      <w:pPr>
        <w:ind w:left="540" w:hanging="540"/>
        <w:contextualSpacing/>
        <w:jc w:val="both"/>
        <w:rPr>
          <w:sz w:val="10"/>
        </w:rPr>
      </w:pPr>
    </w:p>
    <w:p w:rsidR="009A09B0" w:rsidRDefault="009A09B0" w:rsidP="009A09B0">
      <w:pPr>
        <w:spacing w:after="200"/>
        <w:contextualSpacing/>
        <w:jc w:val="both"/>
      </w:pPr>
      <w:r>
        <w:t>Le Soumissionnaire doit fournir la preuve écrite qu’il satisfait aux exigences ci-après :</w:t>
      </w:r>
    </w:p>
    <w:p w:rsidR="009A09B0" w:rsidRDefault="009A09B0" w:rsidP="009A09B0">
      <w:pPr>
        <w:spacing w:after="200"/>
        <w:contextualSpacing/>
        <w:jc w:val="both"/>
      </w:pPr>
      <w:r w:rsidRPr="009E2266">
        <w:t>- justifier d’un chiffre d’affaires annuel moyen au cours d</w:t>
      </w:r>
      <w:r>
        <w:t>es trois dernières années égale</w:t>
      </w:r>
      <w:r w:rsidRPr="009E2266">
        <w:t xml:space="preserve"> au moins </w:t>
      </w:r>
      <w:r w:rsidRPr="00E7479D">
        <w:t>à</w:t>
      </w:r>
      <w:r w:rsidRPr="00E7479D">
        <w:rPr>
          <w:b/>
        </w:rPr>
        <w:t xml:space="preserve"> </w:t>
      </w:r>
      <w:r w:rsidRPr="00FB63B2">
        <w:rPr>
          <w:b/>
        </w:rPr>
        <w:t>Cent Cinquante Millions (</w:t>
      </w:r>
      <w:r w:rsidRPr="00FB63B2">
        <w:rPr>
          <w:b/>
          <w:szCs w:val="24"/>
        </w:rPr>
        <w:t>150 000 000) FCFA</w:t>
      </w:r>
      <w:r w:rsidRPr="00FB63B2">
        <w:rPr>
          <w:szCs w:val="24"/>
        </w:rPr>
        <w:t xml:space="preserve"> ou leur équivalent en monnaie librement convertible</w:t>
      </w:r>
      <w:r>
        <w:rPr>
          <w:szCs w:val="24"/>
        </w:rPr>
        <w:t>, et</w:t>
      </w:r>
      <w:r w:rsidRPr="009E2266">
        <w:t xml:space="preserve"> conformément au</w:t>
      </w:r>
      <w:r>
        <w:t>x</w:t>
      </w:r>
      <w:r w:rsidRPr="009E2266">
        <w:t xml:space="preserve"> bilan</w:t>
      </w:r>
      <w:r>
        <w:t>s</w:t>
      </w:r>
      <w:r w:rsidRPr="009E2266">
        <w:t xml:space="preserve"> certifié</w:t>
      </w:r>
      <w:r>
        <w:t>s</w:t>
      </w:r>
      <w:r w:rsidRPr="009E2266">
        <w:t xml:space="preserve"> </w:t>
      </w:r>
      <w:r>
        <w:rPr>
          <w:szCs w:val="24"/>
        </w:rPr>
        <w:t xml:space="preserve">par </w:t>
      </w:r>
      <w:r>
        <w:t>un expert-</w:t>
      </w:r>
      <w:r w:rsidRPr="00447DE7">
        <w:t>comptable agréé ou attestés par un comptable agréé inscrit à l’ordre</w:t>
      </w:r>
      <w:r>
        <w:rPr>
          <w:szCs w:val="24"/>
        </w:rPr>
        <w:t xml:space="preserve"> et visés par le service compétent des impôts pour</w:t>
      </w:r>
      <w:r w:rsidRPr="009E2266">
        <w:t xml:space="preserve"> </w:t>
      </w:r>
      <w:r>
        <w:t>l</w:t>
      </w:r>
      <w:r w:rsidRPr="009E2266">
        <w:t xml:space="preserve">es trois dernières années : </w:t>
      </w:r>
      <w:r>
        <w:rPr>
          <w:b/>
          <w:bCs/>
        </w:rPr>
        <w:t>2018</w:t>
      </w:r>
      <w:r w:rsidRPr="00CA431A">
        <w:rPr>
          <w:b/>
          <w:bCs/>
        </w:rPr>
        <w:t>, 201</w:t>
      </w:r>
      <w:r>
        <w:rPr>
          <w:b/>
          <w:bCs/>
        </w:rPr>
        <w:t>9</w:t>
      </w:r>
      <w:r w:rsidRPr="00CA431A">
        <w:rPr>
          <w:b/>
          <w:bCs/>
        </w:rPr>
        <w:t xml:space="preserve"> et 20</w:t>
      </w:r>
      <w:r>
        <w:rPr>
          <w:b/>
          <w:bCs/>
        </w:rPr>
        <w:t>20</w:t>
      </w:r>
      <w:r w:rsidRPr="009E2266">
        <w:t> ;</w:t>
      </w:r>
    </w:p>
    <w:p w:rsidR="009A09B0" w:rsidRPr="00FB63B2" w:rsidRDefault="00E16665" w:rsidP="009A09B0">
      <w:pPr>
        <w:suppressAutoHyphens/>
        <w:autoSpaceDN w:val="0"/>
        <w:ind w:right="533"/>
      </w:pPr>
      <w:r>
        <w:t xml:space="preserve">- </w:t>
      </w:r>
      <w:r w:rsidR="009A09B0">
        <w:rPr>
          <w:iCs/>
        </w:rPr>
        <w:t xml:space="preserve">Fournir </w:t>
      </w:r>
      <w:r w:rsidR="009A09B0">
        <w:t>u</w:t>
      </w:r>
      <w:r w:rsidR="009A09B0" w:rsidRPr="009A5E83">
        <w:t xml:space="preserve">ne attestation de </w:t>
      </w:r>
      <w:r w:rsidR="009A09B0">
        <w:t xml:space="preserve">disponibilité de ligne de crédit délivrée par une banque de la place attestant que le candidat dispose </w:t>
      </w:r>
      <w:r w:rsidR="009A09B0" w:rsidRPr="009A5E83">
        <w:t xml:space="preserve">de liquidités suffisantes </w:t>
      </w:r>
      <w:r w:rsidR="009A09B0">
        <w:t>et ou de facilités de crédit de</w:t>
      </w:r>
      <w:r w:rsidR="009A09B0">
        <w:rPr>
          <w:b/>
          <w:bCs/>
        </w:rPr>
        <w:t xml:space="preserve"> Deux </w:t>
      </w:r>
      <w:r w:rsidR="009A09B0" w:rsidRPr="00FB63B2">
        <w:rPr>
          <w:b/>
          <w:bCs/>
        </w:rPr>
        <w:t>Cent Millions (</w:t>
      </w:r>
      <w:r w:rsidR="009A09B0">
        <w:rPr>
          <w:b/>
          <w:bCs/>
        </w:rPr>
        <w:t>2</w:t>
      </w:r>
      <w:r w:rsidR="009A09B0" w:rsidRPr="00FB63B2">
        <w:rPr>
          <w:b/>
          <w:bCs/>
        </w:rPr>
        <w:t>00 000 000) F CFA</w:t>
      </w:r>
      <w:r w:rsidR="009A09B0" w:rsidRPr="00FB63B2">
        <w:t xml:space="preserve"> ;</w:t>
      </w:r>
    </w:p>
    <w:p w:rsidR="009A09B0" w:rsidRPr="00E16665" w:rsidRDefault="00E16665" w:rsidP="00E16665">
      <w:pPr>
        <w:tabs>
          <w:tab w:val="right" w:pos="7164"/>
        </w:tabs>
        <w:rPr>
          <w:b/>
          <w:szCs w:val="24"/>
        </w:rPr>
      </w:pPr>
      <w:r>
        <w:t xml:space="preserve">- </w:t>
      </w:r>
      <w:r w:rsidR="009A09B0">
        <w:t xml:space="preserve">Fournir une garantie d’offres d’un montant égal au moins à :  </w:t>
      </w:r>
      <w:r w:rsidR="009A09B0" w:rsidRPr="00E16665">
        <w:rPr>
          <w:b/>
          <w:szCs w:val="24"/>
        </w:rPr>
        <w:t xml:space="preserve">Six Millions (6 000 000) de Francs CFA pour le lot </w:t>
      </w:r>
      <w:r w:rsidR="009A09B0" w:rsidRPr="00E16665">
        <w:rPr>
          <w:iCs/>
        </w:rPr>
        <w:t>ou le montant équivalent dans une monnaie librement convertible.</w:t>
      </w:r>
    </w:p>
    <w:p w:rsidR="009A09B0" w:rsidRPr="0088425C" w:rsidRDefault="009A09B0" w:rsidP="009A09B0">
      <w:pPr>
        <w:pStyle w:val="Paragraphedeliste"/>
        <w:tabs>
          <w:tab w:val="right" w:pos="7164"/>
        </w:tabs>
        <w:ind w:left="567"/>
        <w:rPr>
          <w:b/>
          <w:szCs w:val="24"/>
        </w:rPr>
      </w:pPr>
    </w:p>
    <w:p w:rsidR="009A09B0" w:rsidRDefault="009A09B0" w:rsidP="009A09B0">
      <w:pPr>
        <w:spacing w:after="200"/>
        <w:ind w:left="540" w:hanging="540"/>
        <w:contextualSpacing/>
        <w:jc w:val="both"/>
        <w:rPr>
          <w:b/>
        </w:rPr>
      </w:pPr>
      <w:r>
        <w:t xml:space="preserve">b) </w:t>
      </w:r>
      <w:r>
        <w:tab/>
      </w:r>
      <w:r w:rsidRPr="00161A48">
        <w:rPr>
          <w:b/>
        </w:rPr>
        <w:t>Capacité technique et expérience</w:t>
      </w:r>
    </w:p>
    <w:p w:rsidR="009A09B0" w:rsidRPr="00161A48" w:rsidRDefault="009A09B0" w:rsidP="009A09B0">
      <w:pPr>
        <w:spacing w:after="200"/>
        <w:ind w:left="540" w:hanging="540"/>
        <w:contextualSpacing/>
        <w:jc w:val="both"/>
        <w:rPr>
          <w:sz w:val="16"/>
          <w:szCs w:val="16"/>
        </w:rPr>
      </w:pPr>
    </w:p>
    <w:p w:rsidR="009A09B0" w:rsidRPr="009E2266" w:rsidRDefault="009A09B0" w:rsidP="009A09B0">
      <w:pPr>
        <w:suppressAutoHyphens/>
        <w:ind w:left="360"/>
        <w:jc w:val="both"/>
      </w:pPr>
      <w:r>
        <w:t xml:space="preserve">Le Soumissionnaire doit prouver, documentation à l’appui qu’il satisfait aux exigences de capacité technique ci-après : </w:t>
      </w:r>
    </w:p>
    <w:p w:rsidR="009A09B0" w:rsidRDefault="009A09B0" w:rsidP="009A09B0">
      <w:pPr>
        <w:tabs>
          <w:tab w:val="left" w:pos="360"/>
        </w:tabs>
        <w:suppressAutoHyphens/>
        <w:jc w:val="both"/>
        <w:rPr>
          <w:szCs w:val="24"/>
        </w:rPr>
      </w:pPr>
    </w:p>
    <w:p w:rsidR="009A09B0" w:rsidRPr="00EF0DD6" w:rsidRDefault="009A09B0" w:rsidP="009A09B0">
      <w:pPr>
        <w:tabs>
          <w:tab w:val="left" w:pos="360"/>
        </w:tabs>
        <w:suppressAutoHyphens/>
        <w:ind w:left="360"/>
        <w:jc w:val="both"/>
      </w:pPr>
      <w:r w:rsidRPr="00481DC3">
        <w:rPr>
          <w:szCs w:val="24"/>
        </w:rPr>
        <w:t>Le Soumissionnaire doit prouver, documentation à l’appui, qu’il satisfait aux exigences d’expérience ci-après :</w:t>
      </w:r>
    </w:p>
    <w:p w:rsidR="009A09B0" w:rsidRDefault="009A09B0" w:rsidP="009A09B0">
      <w:pPr>
        <w:tabs>
          <w:tab w:val="left" w:pos="360"/>
        </w:tabs>
        <w:spacing w:after="200"/>
        <w:ind w:left="360"/>
        <w:contextualSpacing/>
        <w:jc w:val="both"/>
      </w:pPr>
      <w:r>
        <w:t>- L</w:t>
      </w:r>
      <w:r w:rsidRPr="009E2266">
        <w:t xml:space="preserve">e candidat doit prouver </w:t>
      </w:r>
      <w:r>
        <w:t xml:space="preserve">documentation à l’appui </w:t>
      </w:r>
      <w:r w:rsidRPr="009E2266">
        <w:t>(</w:t>
      </w:r>
      <w:r>
        <w:t xml:space="preserve">Copies légalisés des pages de garde et Signature, </w:t>
      </w:r>
      <w:r w:rsidRPr="009E2266">
        <w:t>PV de réception, attestation de bonne exé</w:t>
      </w:r>
      <w:r>
        <w:t>cution</w:t>
      </w:r>
      <w:r w:rsidRPr="009E2266">
        <w:t xml:space="preserve">) qu’il a exécuté au moins </w:t>
      </w:r>
      <w:r>
        <w:t>un (1)</w:t>
      </w:r>
      <w:r w:rsidRPr="009E2266">
        <w:t xml:space="preserve"> marché de fourniture de </w:t>
      </w:r>
      <w:r>
        <w:t xml:space="preserve">matériels </w:t>
      </w:r>
      <w:r>
        <w:lastRenderedPageBreak/>
        <w:t xml:space="preserve">importés </w:t>
      </w:r>
      <w:r w:rsidRPr="009E2266">
        <w:t>au cours des cinq dernières années</w:t>
      </w:r>
      <w:r>
        <w:t xml:space="preserve"> (2016 ; 2017 ; 2018 ; 2019 ; 2020) d’une valeur au moins égale à</w:t>
      </w:r>
      <w:r>
        <w:rPr>
          <w:b/>
        </w:rPr>
        <w:t xml:space="preserve"> C</w:t>
      </w:r>
      <w:r w:rsidRPr="00161A48">
        <w:rPr>
          <w:b/>
        </w:rPr>
        <w:t>ent</w:t>
      </w:r>
      <w:r>
        <w:rPr>
          <w:b/>
        </w:rPr>
        <w:t xml:space="preserve"> Millions (10</w:t>
      </w:r>
      <w:r w:rsidRPr="00161A48">
        <w:rPr>
          <w:b/>
        </w:rPr>
        <w:t>0 000 000) Francs CFA</w:t>
      </w:r>
      <w:r w:rsidRPr="009E2266">
        <w:t xml:space="preserve">. </w:t>
      </w:r>
    </w:p>
    <w:p w:rsidR="009A09B0" w:rsidRPr="00161A48" w:rsidRDefault="009A09B0" w:rsidP="009A09B0">
      <w:pPr>
        <w:tabs>
          <w:tab w:val="left" w:pos="360"/>
        </w:tabs>
        <w:spacing w:after="200"/>
        <w:ind w:left="360"/>
        <w:contextualSpacing/>
        <w:jc w:val="both"/>
        <w:rPr>
          <w:sz w:val="22"/>
          <w:szCs w:val="22"/>
        </w:rPr>
      </w:pPr>
    </w:p>
    <w:p w:rsidR="009A09B0" w:rsidRDefault="009A09B0" w:rsidP="009A09B0">
      <w:pPr>
        <w:suppressAutoHyphens/>
        <w:ind w:left="360"/>
        <w:jc w:val="both"/>
        <w:rPr>
          <w:szCs w:val="24"/>
        </w:rPr>
      </w:pPr>
      <w:r>
        <w:t xml:space="preserve">Le Soumissionnaire doit fournir la preuve écrite que les Fournitures qu’il propose, remplissent la(les) condition(s) d’utilisation suivante : </w:t>
      </w:r>
      <w:r w:rsidRPr="0019799E">
        <w:rPr>
          <w:szCs w:val="24"/>
        </w:rPr>
        <w:t>les équipements doivent fonctionner normalement dans les conditions des pays tropicaux</w:t>
      </w:r>
      <w:r>
        <w:rPr>
          <w:iCs/>
          <w:szCs w:val="24"/>
        </w:rPr>
        <w:t>.</w:t>
      </w:r>
    </w:p>
    <w:p w:rsidR="009A09B0" w:rsidRPr="00161A48" w:rsidRDefault="009A09B0" w:rsidP="009A09B0">
      <w:pPr>
        <w:suppressAutoHyphens/>
        <w:ind w:left="360"/>
        <w:jc w:val="both"/>
        <w:rPr>
          <w:sz w:val="22"/>
          <w:szCs w:val="22"/>
        </w:rPr>
      </w:pPr>
    </w:p>
    <w:p w:rsidR="009A09B0" w:rsidRDefault="009A09B0" w:rsidP="009A09B0">
      <w:pPr>
        <w:suppressAutoHyphens/>
        <w:ind w:left="360"/>
        <w:jc w:val="both"/>
      </w:pPr>
      <w:r w:rsidRPr="005936D6">
        <w:rPr>
          <w:szCs w:val="24"/>
        </w:rPr>
        <w:t>Une marge de</w:t>
      </w:r>
      <w:r>
        <w:t xml:space="preserve"> préférence ne sera pas octroyée aux soumissionnaires éligibles. </w:t>
      </w:r>
    </w:p>
    <w:p w:rsidR="009A09B0" w:rsidRPr="00161A48" w:rsidRDefault="009A09B0" w:rsidP="009A09B0">
      <w:pPr>
        <w:suppressAutoHyphens/>
        <w:ind w:left="360"/>
        <w:jc w:val="both"/>
        <w:rPr>
          <w:sz w:val="22"/>
          <w:szCs w:val="22"/>
        </w:rPr>
      </w:pPr>
    </w:p>
    <w:p w:rsidR="009A09B0" w:rsidRPr="0088425C" w:rsidRDefault="009A09B0" w:rsidP="009A09B0">
      <w:pPr>
        <w:pStyle w:val="Paragraphedeliste"/>
        <w:numPr>
          <w:ilvl w:val="0"/>
          <w:numId w:val="3"/>
        </w:numPr>
        <w:rPr>
          <w:b/>
          <w:bCs/>
          <w:szCs w:val="24"/>
        </w:rPr>
      </w:pPr>
      <w:r>
        <w:t xml:space="preserve">Les soumissionnaires intéressés peuvent obtenir un dossier d’appel d’offres complet en français à l’adresse ci-dessous mentionnée contre paiement non remboursable d’un montant de </w:t>
      </w:r>
      <w:r>
        <w:rPr>
          <w:b/>
        </w:rPr>
        <w:t>Cinquante Mille (5</w:t>
      </w:r>
      <w:r w:rsidRPr="009734BD">
        <w:rPr>
          <w:b/>
        </w:rPr>
        <w:t xml:space="preserve">0 000) </w:t>
      </w:r>
      <w:r>
        <w:rPr>
          <w:b/>
        </w:rPr>
        <w:t>Francs</w:t>
      </w:r>
      <w:r w:rsidRPr="009734BD">
        <w:rPr>
          <w:b/>
        </w:rPr>
        <w:t xml:space="preserve"> CFA</w:t>
      </w:r>
      <w:r w:rsidRPr="0088425C">
        <w:t>. Le paiement sera fait en espèces.</w:t>
      </w:r>
    </w:p>
    <w:p w:rsidR="009A09B0" w:rsidRPr="009A09B0" w:rsidRDefault="009A09B0" w:rsidP="009A09B0">
      <w:pPr>
        <w:tabs>
          <w:tab w:val="right" w:pos="7164"/>
        </w:tabs>
        <w:ind w:left="567"/>
        <w:jc w:val="both"/>
        <w:rPr>
          <w:b/>
          <w:bCs/>
          <w:szCs w:val="24"/>
        </w:rPr>
      </w:pPr>
    </w:p>
    <w:p w:rsidR="009A09B0" w:rsidRDefault="009A09B0" w:rsidP="009A09B0">
      <w:pPr>
        <w:pStyle w:val="Paragraphedeliste"/>
        <w:numPr>
          <w:ilvl w:val="0"/>
          <w:numId w:val="3"/>
        </w:numPr>
        <w:tabs>
          <w:tab w:val="right" w:pos="7164"/>
        </w:tabs>
      </w:pPr>
      <w:r w:rsidRPr="009A09B0">
        <w:t xml:space="preserve">Les offres devront être soumises </w:t>
      </w:r>
      <w:r w:rsidRPr="009A09B0">
        <w:rPr>
          <w:b/>
          <w:bCs/>
        </w:rPr>
        <w:t xml:space="preserve">au plus tard le 23 juillet </w:t>
      </w:r>
      <w:r w:rsidRPr="002D470D">
        <w:rPr>
          <w:b/>
          <w:bCs/>
        </w:rPr>
        <w:t>2021</w:t>
      </w:r>
      <w:r w:rsidRPr="002D470D">
        <w:rPr>
          <w:color w:val="FF0000"/>
        </w:rPr>
        <w:t xml:space="preserve"> </w:t>
      </w:r>
      <w:r w:rsidRPr="00237879">
        <w:t xml:space="preserve">à </w:t>
      </w:r>
      <w:r w:rsidRPr="00237879">
        <w:rPr>
          <w:b/>
        </w:rPr>
        <w:t>09H00mn</w:t>
      </w:r>
      <w:r w:rsidRPr="00237879">
        <w:t xml:space="preserve"> </w:t>
      </w:r>
      <w:r>
        <w:t xml:space="preserve">au </w:t>
      </w:r>
      <w:r w:rsidRPr="00A8181E">
        <w:t>Bur</w:t>
      </w:r>
      <w:r>
        <w:t xml:space="preserve">eau de </w:t>
      </w:r>
      <w:r w:rsidRPr="00A8181E">
        <w:t>passation des marchés</w:t>
      </w:r>
      <w:r w:rsidRPr="0088425C">
        <w:rPr>
          <w:bCs/>
        </w:rPr>
        <w:t xml:space="preserve"> du </w:t>
      </w:r>
      <w:r>
        <w:t xml:space="preserve">Projet </w:t>
      </w:r>
      <w:r w:rsidRPr="00646E88">
        <w:t>de</w:t>
      </w:r>
      <w:r w:rsidRPr="0088425C">
        <w:rPr>
          <w:b/>
          <w:bCs/>
          <w:noProof/>
          <w:sz w:val="28"/>
          <w:szCs w:val="28"/>
        </w:rPr>
        <w:t xml:space="preserve"> </w:t>
      </w:r>
      <w:r w:rsidRPr="00646E88">
        <w:t>Gouvernance du Secteur des Mines</w:t>
      </w:r>
      <w:r w:rsidRPr="0088425C">
        <w:rPr>
          <w:b/>
          <w:bCs/>
          <w:noProof/>
          <w:sz w:val="28"/>
          <w:szCs w:val="28"/>
        </w:rPr>
        <w:t xml:space="preserve"> </w:t>
      </w:r>
      <w:r w:rsidRPr="0088425C">
        <w:rPr>
          <w:noProof/>
          <w:sz w:val="28"/>
          <w:szCs w:val="28"/>
        </w:rPr>
        <w:t>(PGSM)</w:t>
      </w:r>
      <w:r>
        <w:t xml:space="preserve"> sis au 3</w:t>
      </w:r>
      <w:r w:rsidRPr="0088425C">
        <w:rPr>
          <w:vertAlign w:val="superscript"/>
        </w:rPr>
        <w:t>ème</w:t>
      </w:r>
      <w:r>
        <w:t xml:space="preserve"> étage à l’Immeuble du Conseil National du Patronat Malien (CNPM) face au Gouvernorat du District de Bamako au quartier Hamdallaye ACI 2000 ; </w:t>
      </w:r>
      <w:r w:rsidRPr="0088425C">
        <w:rPr>
          <w:b/>
          <w:bCs/>
        </w:rPr>
        <w:t>Tél. 76 12 41 61</w:t>
      </w:r>
      <w:r>
        <w:rPr>
          <w:b/>
          <w:bCs/>
        </w:rPr>
        <w:t> </w:t>
      </w:r>
      <w:r>
        <w:t xml:space="preserve">; </w:t>
      </w:r>
    </w:p>
    <w:p w:rsidR="009A09B0" w:rsidRDefault="009A09B0" w:rsidP="009A09B0">
      <w:pPr>
        <w:pStyle w:val="Paragraphedeliste"/>
        <w:tabs>
          <w:tab w:val="right" w:pos="7164"/>
        </w:tabs>
        <w:ind w:left="780"/>
        <w:rPr>
          <w:b/>
          <w:bCs/>
        </w:rPr>
      </w:pPr>
      <w:r>
        <w:t xml:space="preserve">Email : </w:t>
      </w:r>
      <w:hyperlink r:id="rId7" w:history="1">
        <w:r w:rsidRPr="006C44D4">
          <w:rPr>
            <w:rStyle w:val="Lienhypertexte"/>
            <w:color w:val="00B0F0"/>
          </w:rPr>
          <w:t>pgouvernance@gmail.com</w:t>
        </w:r>
      </w:hyperlink>
      <w:r w:rsidRPr="006C44D4">
        <w:rPr>
          <w:color w:val="00B0F0"/>
        </w:rPr>
        <w:t xml:space="preserve">; </w:t>
      </w:r>
      <w:hyperlink r:id="rId8" w:history="1">
        <w:r w:rsidRPr="006C44D4">
          <w:rPr>
            <w:rStyle w:val="Lienhypertexte"/>
            <w:color w:val="00B0F0"/>
          </w:rPr>
          <w:t>doumabou24@gmail.com</w:t>
        </w:r>
      </w:hyperlink>
      <w:r>
        <w:rPr>
          <w:rStyle w:val="Lienhypertexte"/>
        </w:rPr>
        <w:t xml:space="preserve"> </w:t>
      </w:r>
      <w:r>
        <w:t xml:space="preserve">La soumission par voie électronique ne sera pas autorisée. Les offres remises en retard ne seront pas acceptées. Les offres seront </w:t>
      </w:r>
      <w:r w:rsidRPr="009A09B0">
        <w:t xml:space="preserve">ouvertes </w:t>
      </w:r>
      <w:r w:rsidRPr="009A09B0">
        <w:rPr>
          <w:b/>
        </w:rPr>
        <w:t xml:space="preserve">le </w:t>
      </w:r>
      <w:r w:rsidRPr="009A09B0">
        <w:rPr>
          <w:b/>
          <w:bCs/>
        </w:rPr>
        <w:t xml:space="preserve">23 juillet </w:t>
      </w:r>
      <w:r w:rsidRPr="00237879">
        <w:rPr>
          <w:b/>
          <w:bCs/>
        </w:rPr>
        <w:t xml:space="preserve">2021 </w:t>
      </w:r>
      <w:r w:rsidRPr="0088425C">
        <w:rPr>
          <w:b/>
        </w:rPr>
        <w:t>à 09 H 15</w:t>
      </w:r>
      <w:r>
        <w:rPr>
          <w:b/>
        </w:rPr>
        <w:t xml:space="preserve"> mn</w:t>
      </w:r>
      <w:r>
        <w:t xml:space="preserve"> en présence des soumissionnaires souhaitant assister </w:t>
      </w:r>
      <w:r w:rsidRPr="0088425C">
        <w:rPr>
          <w:b/>
          <w:bCs/>
        </w:rPr>
        <w:t>dans la Salle de conférence</w:t>
      </w:r>
      <w:r w:rsidRPr="0088425C">
        <w:rPr>
          <w:b/>
        </w:rPr>
        <w:t xml:space="preserve"> de Projet de</w:t>
      </w:r>
      <w:r w:rsidRPr="0088425C">
        <w:rPr>
          <w:b/>
          <w:bCs/>
          <w:noProof/>
          <w:sz w:val="28"/>
          <w:szCs w:val="28"/>
        </w:rPr>
        <w:t xml:space="preserve"> </w:t>
      </w:r>
      <w:r w:rsidRPr="0088425C">
        <w:rPr>
          <w:b/>
        </w:rPr>
        <w:t>Gouvernance du Secteur des Mines</w:t>
      </w:r>
      <w:r w:rsidRPr="0088425C">
        <w:rPr>
          <w:b/>
          <w:bCs/>
          <w:noProof/>
          <w:sz w:val="28"/>
          <w:szCs w:val="28"/>
        </w:rPr>
        <w:t xml:space="preserve"> </w:t>
      </w:r>
      <w:r w:rsidRPr="0088425C">
        <w:rPr>
          <w:b/>
          <w:noProof/>
          <w:sz w:val="28"/>
          <w:szCs w:val="28"/>
        </w:rPr>
        <w:t>(PGSM)</w:t>
      </w:r>
      <w:r>
        <w:t xml:space="preserve"> sis au 3</w:t>
      </w:r>
      <w:r w:rsidRPr="0088425C">
        <w:rPr>
          <w:vertAlign w:val="superscript"/>
        </w:rPr>
        <w:t>ème</w:t>
      </w:r>
      <w:r>
        <w:t xml:space="preserve"> étage à l’Immeuble du Conseil National du Patronat Malien (CNPM) face au Gouvernorat du District de Bamako au quartier Hamdallaye ACI 2000 ;</w:t>
      </w:r>
      <w:r w:rsidRPr="00484EC6">
        <w:rPr>
          <w:b/>
          <w:bCs/>
        </w:rPr>
        <w:t xml:space="preserve"> </w:t>
      </w:r>
      <w:r w:rsidRPr="0088425C">
        <w:rPr>
          <w:b/>
          <w:bCs/>
        </w:rPr>
        <w:t>Tél. 76 12 41 61</w:t>
      </w:r>
      <w:r>
        <w:rPr>
          <w:b/>
          <w:bCs/>
        </w:rPr>
        <w:t> ;</w:t>
      </w:r>
    </w:p>
    <w:p w:rsidR="009A09B0" w:rsidRDefault="009A09B0" w:rsidP="009A09B0">
      <w:pPr>
        <w:pStyle w:val="Paragraphedeliste"/>
        <w:tabs>
          <w:tab w:val="right" w:pos="7164"/>
        </w:tabs>
        <w:ind w:left="780"/>
      </w:pPr>
      <w:r>
        <w:t>Email :</w:t>
      </w:r>
      <w:r w:rsidRPr="009A09B0">
        <w:rPr>
          <w:color w:val="00B0F0"/>
        </w:rPr>
        <w:t xml:space="preserve"> </w:t>
      </w:r>
      <w:hyperlink r:id="rId9" w:history="1">
        <w:r w:rsidRPr="009A09B0">
          <w:rPr>
            <w:rStyle w:val="Lienhypertexte"/>
            <w:color w:val="00B0F0"/>
          </w:rPr>
          <w:t>pgouvernance@gmail.com</w:t>
        </w:r>
      </w:hyperlink>
      <w:r w:rsidRPr="009A09B0">
        <w:rPr>
          <w:color w:val="00B0F0"/>
        </w:rPr>
        <w:t xml:space="preserve">; </w:t>
      </w:r>
      <w:hyperlink r:id="rId10" w:history="1">
        <w:r w:rsidRPr="009A09B0">
          <w:rPr>
            <w:rStyle w:val="Lienhypertexte"/>
            <w:color w:val="00B0F0"/>
          </w:rPr>
          <w:t>doumabou24@gmail.com</w:t>
        </w:r>
      </w:hyperlink>
      <w:r>
        <w:t xml:space="preserve"> </w:t>
      </w:r>
    </w:p>
    <w:p w:rsidR="00395BC0" w:rsidRDefault="00395BC0" w:rsidP="009A09B0">
      <w:pPr>
        <w:tabs>
          <w:tab w:val="right" w:pos="7164"/>
        </w:tabs>
      </w:pPr>
    </w:p>
    <w:sectPr w:rsidR="00395BC0" w:rsidSect="009A09B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16E8A"/>
    <w:multiLevelType w:val="hybridMultilevel"/>
    <w:tmpl w:val="86DAD04E"/>
    <w:lvl w:ilvl="0" w:tplc="68D66804">
      <w:start w:val="1"/>
      <w:numFmt w:val="lowerLetter"/>
      <w:lvlText w:val="(%1)"/>
      <w:lvlJc w:val="left"/>
      <w:pPr>
        <w:ind w:left="720" w:hanging="360"/>
      </w:pPr>
      <w:rPr>
        <w:rFonts w:hint="default"/>
        <w:b w:val="0"/>
        <w:i w:val="0"/>
      </w:rPr>
    </w:lvl>
    <w:lvl w:ilvl="1" w:tplc="B4780AF2">
      <w:start w:val="1"/>
      <w:numFmt w:val="decimal"/>
      <w:lvlText w:val="%2."/>
      <w:lvlJc w:val="left"/>
      <w:pPr>
        <w:ind w:left="1620" w:hanging="540"/>
      </w:pPr>
      <w:rPr>
        <w:rFonts w:hint="default"/>
      </w:rPr>
    </w:lvl>
    <w:lvl w:ilvl="2" w:tplc="FEC09BEE">
      <w:start w:val="1"/>
      <w:numFmt w:val="lowerLetter"/>
      <w:lvlText w:val="%3)"/>
      <w:lvlJc w:val="left"/>
      <w:pPr>
        <w:ind w:left="2520" w:hanging="540"/>
      </w:pPr>
      <w:rPr>
        <w:rFonts w:hint="default"/>
      </w:rPr>
    </w:lvl>
    <w:lvl w:ilvl="3" w:tplc="E86C1A04">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510C5"/>
    <w:multiLevelType w:val="hybridMultilevel"/>
    <w:tmpl w:val="3148F9BE"/>
    <w:lvl w:ilvl="0" w:tplc="764E01EC">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78CC0956"/>
    <w:multiLevelType w:val="hybridMultilevel"/>
    <w:tmpl w:val="251C06E4"/>
    <w:lvl w:ilvl="0" w:tplc="97087934">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A7"/>
    <w:rsid w:val="00134544"/>
    <w:rsid w:val="00252254"/>
    <w:rsid w:val="002B75C9"/>
    <w:rsid w:val="00395BC0"/>
    <w:rsid w:val="004031A7"/>
    <w:rsid w:val="00712E99"/>
    <w:rsid w:val="007459C0"/>
    <w:rsid w:val="007E5421"/>
    <w:rsid w:val="007E5FA3"/>
    <w:rsid w:val="009A09B0"/>
    <w:rsid w:val="00BB33B7"/>
    <w:rsid w:val="00BC1740"/>
    <w:rsid w:val="00C67511"/>
    <w:rsid w:val="00E16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C217"/>
  <w15:chartTrackingRefBased/>
  <w15:docId w15:val="{7B807DAE-E85C-4BAC-A5C7-C57BF912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1A7"/>
    <w:pPr>
      <w:spacing w:after="0" w:line="240" w:lineRule="auto"/>
    </w:pPr>
    <w:rPr>
      <w:rFonts w:ascii="Times New Roman" w:eastAsia="Times New Roman" w:hAnsi="Times New Roman"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4031A7"/>
    <w:rPr>
      <w:rFonts w:ascii="Times New Roman" w:hAnsi="Times New Roman"/>
      <w:b w:val="0"/>
      <w:color w:val="auto"/>
      <w:sz w:val="24"/>
      <w:u w:val="single"/>
    </w:rPr>
  </w:style>
  <w:style w:type="paragraph" w:styleId="Paragraphedeliste">
    <w:name w:val="List Paragraph"/>
    <w:aliases w:val="Citation List,본문(내용),List Paragraph (numbered (a)),Colorful List - Accent 11,Akapit z listą BS,Bullet1,Bullets,Ha,List Paragraph1,List_Paragraph,Liste 1,Main numbered paragraph,Multilevel para_II,NUMBERED PARAGRAPH,NumberedParas,l"/>
    <w:basedOn w:val="Normal"/>
    <w:link w:val="ParagraphedelisteCar"/>
    <w:uiPriority w:val="34"/>
    <w:qFormat/>
    <w:rsid w:val="004031A7"/>
    <w:pPr>
      <w:suppressAutoHyphens/>
      <w:overflowPunct w:val="0"/>
      <w:autoSpaceDE w:val="0"/>
      <w:autoSpaceDN w:val="0"/>
      <w:adjustRightInd w:val="0"/>
      <w:ind w:left="720"/>
      <w:contextualSpacing/>
      <w:jc w:val="both"/>
      <w:textAlignment w:val="baseline"/>
    </w:pPr>
  </w:style>
  <w:style w:type="character" w:customStyle="1" w:styleId="ParagraphedelisteCar">
    <w:name w:val="Paragraphe de liste Car"/>
    <w:aliases w:val="Citation List Car,본문(내용) Car,List Paragraph (numbered (a)) Car,Colorful List - Accent 11 Car,Akapit z listą BS Car,Bullet1 Car,Bullets Car,Ha Car,List Paragraph1 Car,List_Paragraph Car,Liste 1 Car,Main numbered paragraph Car"/>
    <w:basedOn w:val="Policepardfaut"/>
    <w:link w:val="Paragraphedeliste"/>
    <w:uiPriority w:val="34"/>
    <w:qFormat/>
    <w:locked/>
    <w:rsid w:val="004031A7"/>
    <w:rPr>
      <w:rFonts w:ascii="Times New Roman" w:eastAsia="Times New Roman" w:hAnsi="Times New Roman" w:cs="Times New Roman"/>
      <w:sz w:val="24"/>
      <w:szCs w:val="20"/>
      <w:lang w:val="fr-FR" w:eastAsia="fr-FR"/>
    </w:rPr>
  </w:style>
  <w:style w:type="paragraph" w:styleId="Sansinterligne">
    <w:name w:val="No Spacing"/>
    <w:uiPriority w:val="1"/>
    <w:qFormat/>
    <w:rsid w:val="004031A7"/>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mabou24@gmail.com" TargetMode="External"/><Relationship Id="rId3" Type="http://schemas.openxmlformats.org/officeDocument/2006/relationships/settings" Target="settings.xml"/><Relationship Id="rId7" Type="http://schemas.openxmlformats.org/officeDocument/2006/relationships/hyperlink" Target="mailto:pgouvernanc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umabou24@gmail.com" TargetMode="External"/><Relationship Id="rId11" Type="http://schemas.openxmlformats.org/officeDocument/2006/relationships/fontTable" Target="fontTable.xml"/><Relationship Id="rId5" Type="http://schemas.openxmlformats.org/officeDocument/2006/relationships/hyperlink" Target="mailto:pgouvernance@gmail.com" TargetMode="External"/><Relationship Id="rId10" Type="http://schemas.openxmlformats.org/officeDocument/2006/relationships/hyperlink" Target="mailto:doumabou24@gmail.com" TargetMode="External"/><Relationship Id="rId4" Type="http://schemas.openxmlformats.org/officeDocument/2006/relationships/webSettings" Target="webSettings.xml"/><Relationship Id="rId9" Type="http://schemas.openxmlformats.org/officeDocument/2006/relationships/hyperlink" Target="mailto:pgouvernanc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818</Words>
  <Characters>4500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DOUMBIA</dc:creator>
  <cp:keywords/>
  <dc:description/>
  <cp:lastModifiedBy>DOUMBIA</cp:lastModifiedBy>
  <cp:revision>9</cp:revision>
  <dcterms:created xsi:type="dcterms:W3CDTF">2021-06-17T13:34:00Z</dcterms:created>
  <dcterms:modified xsi:type="dcterms:W3CDTF">2021-07-22T11:21:00Z</dcterms:modified>
</cp:coreProperties>
</file>