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D8" w:rsidRPr="00D95CD8" w:rsidRDefault="00D95CD8" w:rsidP="00D95CD8">
      <w:pPr>
        <w:suppressAutoHyphens/>
        <w:overflowPunct w:val="0"/>
        <w:autoSpaceDE w:val="0"/>
        <w:autoSpaceDN w:val="0"/>
        <w:adjustRightInd w:val="0"/>
        <w:spacing w:after="0" w:line="240" w:lineRule="auto"/>
        <w:jc w:val="center"/>
        <w:rPr>
          <w:rFonts w:ascii="Times New Roman" w:eastAsia="Times New Roman" w:hAnsi="Times New Roman" w:cs="Arial"/>
          <w:b/>
          <w:sz w:val="32"/>
          <w:szCs w:val="32"/>
          <w:lang w:eastAsia="fr-FR"/>
        </w:rPr>
      </w:pPr>
      <w:bookmarkStart w:id="0" w:name="_Toc77392477"/>
      <w:bookmarkStart w:id="1" w:name="_Toc77493061"/>
      <w:r w:rsidRPr="00D95CD8">
        <w:rPr>
          <w:rFonts w:ascii="Times New Roman" w:eastAsia="Times New Roman" w:hAnsi="Times New Roman" w:cs="Arial"/>
          <w:b/>
          <w:sz w:val="32"/>
          <w:szCs w:val="32"/>
          <w:lang w:eastAsia="fr-FR"/>
        </w:rPr>
        <w:t>Avis d’Appel d’Offres Ouvert (AAOO)</w:t>
      </w:r>
      <w:bookmarkEnd w:id="0"/>
      <w:bookmarkEnd w:id="1"/>
    </w:p>
    <w:p w:rsidR="00D95CD8" w:rsidRPr="00D95CD8" w:rsidRDefault="00D95CD8" w:rsidP="00D95CD8">
      <w:pPr>
        <w:suppressAutoHyphens/>
        <w:overflowPunct w:val="0"/>
        <w:autoSpaceDE w:val="0"/>
        <w:autoSpaceDN w:val="0"/>
        <w:adjustRightInd w:val="0"/>
        <w:spacing w:after="0" w:line="240" w:lineRule="auto"/>
        <w:jc w:val="center"/>
        <w:rPr>
          <w:rFonts w:ascii="Times New Roman" w:eastAsia="Times New Roman" w:hAnsi="Times New Roman" w:cs="Arial"/>
          <w:b/>
          <w:bCs/>
          <w:sz w:val="40"/>
          <w:szCs w:val="24"/>
          <w:lang w:eastAsia="fr-FR"/>
        </w:rPr>
      </w:pPr>
    </w:p>
    <w:p w:rsidR="00D95CD8" w:rsidRPr="00D95CD8" w:rsidRDefault="00D95CD8" w:rsidP="00D95CD8">
      <w:pPr>
        <w:suppressAutoHyphens/>
        <w:overflowPunct w:val="0"/>
        <w:autoSpaceDE w:val="0"/>
        <w:autoSpaceDN w:val="0"/>
        <w:adjustRightInd w:val="0"/>
        <w:spacing w:after="0" w:line="240" w:lineRule="auto"/>
        <w:jc w:val="center"/>
        <w:rPr>
          <w:rFonts w:ascii="Times New Roman" w:eastAsia="Times New Roman" w:hAnsi="Times New Roman" w:cs="Arial"/>
          <w:b/>
          <w:bCs/>
          <w:i/>
          <w:iCs/>
          <w:sz w:val="28"/>
          <w:szCs w:val="28"/>
          <w:lang w:eastAsia="fr-FR"/>
        </w:rPr>
      </w:pPr>
      <w:r w:rsidRPr="00D95CD8">
        <w:rPr>
          <w:rFonts w:ascii="Times New Roman" w:eastAsia="Times New Roman" w:hAnsi="Times New Roman" w:cs="Times New Roman"/>
          <w:b/>
          <w:snapToGrid w:val="0"/>
          <w:sz w:val="24"/>
          <w:szCs w:val="24"/>
          <w:lang w:val="fr-CA"/>
        </w:rPr>
        <w:t>Ministère des Maliens Établis à l’Extérieur et de l’Intégration Africaine</w:t>
      </w:r>
    </w:p>
    <w:p w:rsidR="00D95CD8" w:rsidRPr="00D95CD8" w:rsidRDefault="00D95CD8" w:rsidP="00D95CD8">
      <w:pPr>
        <w:suppressAutoHyphens/>
        <w:overflowPunct w:val="0"/>
        <w:autoSpaceDE w:val="0"/>
        <w:autoSpaceDN w:val="0"/>
        <w:adjustRightInd w:val="0"/>
        <w:spacing w:after="0" w:line="240" w:lineRule="auto"/>
        <w:jc w:val="center"/>
        <w:rPr>
          <w:rFonts w:ascii="Times New Roman" w:eastAsia="Times New Roman" w:hAnsi="Times New Roman" w:cs="Arial"/>
          <w:b/>
          <w:bCs/>
          <w:i/>
          <w:iCs/>
          <w:sz w:val="32"/>
          <w:szCs w:val="32"/>
          <w:lang w:val="en-US" w:eastAsia="fr-FR"/>
        </w:rPr>
      </w:pPr>
      <w:r w:rsidRPr="00D95CD8">
        <w:rPr>
          <w:rFonts w:ascii="Times New Roman" w:eastAsia="Times New Roman" w:hAnsi="Times New Roman" w:cs="Arial"/>
          <w:b/>
          <w:bCs/>
          <w:i/>
          <w:iCs/>
          <w:sz w:val="32"/>
          <w:szCs w:val="32"/>
          <w:lang w:val="en-US" w:eastAsia="fr-FR"/>
        </w:rPr>
        <w:t xml:space="preserve">AAOO: </w:t>
      </w:r>
    </w:p>
    <w:p w:rsidR="00D95CD8" w:rsidRPr="00D95CD8" w:rsidRDefault="00D95CD8" w:rsidP="00D95CD8">
      <w:pPr>
        <w:suppressAutoHyphens/>
        <w:overflowPunct w:val="0"/>
        <w:autoSpaceDE w:val="0"/>
        <w:autoSpaceDN w:val="0"/>
        <w:adjustRightInd w:val="0"/>
        <w:spacing w:after="0" w:line="240" w:lineRule="auto"/>
        <w:jc w:val="center"/>
        <w:rPr>
          <w:rFonts w:ascii="Times New Roman" w:eastAsia="Times New Roman" w:hAnsi="Times New Roman" w:cs="Arial"/>
          <w:b/>
          <w:bCs/>
          <w:i/>
          <w:iCs/>
          <w:sz w:val="28"/>
          <w:szCs w:val="28"/>
          <w:lang w:val="en-US" w:eastAsia="fr-FR"/>
        </w:rPr>
      </w:pPr>
    </w:p>
    <w:p w:rsidR="00D95CD8" w:rsidRPr="00D95CD8" w:rsidRDefault="00D95CD8" w:rsidP="00D95CD8">
      <w:pPr>
        <w:suppressAutoHyphens/>
        <w:overflowPunct w:val="0"/>
        <w:autoSpaceDE w:val="0"/>
        <w:autoSpaceDN w:val="0"/>
        <w:adjustRightInd w:val="0"/>
        <w:spacing w:after="0" w:line="240" w:lineRule="auto"/>
        <w:jc w:val="center"/>
        <w:rPr>
          <w:rFonts w:ascii="Times New Roman" w:eastAsia="Times New Roman" w:hAnsi="Times New Roman" w:cs="Arial"/>
          <w:b/>
          <w:bCs/>
          <w:i/>
          <w:iCs/>
          <w:sz w:val="24"/>
          <w:szCs w:val="24"/>
          <w:lang w:val="en-US" w:eastAsia="fr-FR"/>
        </w:rPr>
      </w:pP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i/>
          <w:iCs/>
          <w:sz w:val="24"/>
          <w:szCs w:val="24"/>
          <w:lang w:eastAsia="fr-FR"/>
        </w:rPr>
      </w:pPr>
      <w:r w:rsidRPr="00D95CD8">
        <w:rPr>
          <w:rFonts w:ascii="Times New Roman" w:eastAsia="Times New Roman" w:hAnsi="Times New Roman" w:cs="Arial"/>
          <w:sz w:val="24"/>
          <w:szCs w:val="24"/>
          <w:lang w:eastAsia="fr-FR"/>
        </w:rPr>
        <w:t>Cet Avis d’appel d’offres restreint fait suite à l’Avis Gé</w:t>
      </w:r>
      <w:bookmarkStart w:id="2" w:name="_GoBack"/>
      <w:bookmarkEnd w:id="2"/>
      <w:r w:rsidRPr="00D95CD8">
        <w:rPr>
          <w:rFonts w:ascii="Times New Roman" w:eastAsia="Times New Roman" w:hAnsi="Times New Roman" w:cs="Arial"/>
          <w:sz w:val="24"/>
          <w:szCs w:val="24"/>
          <w:lang w:eastAsia="fr-FR"/>
        </w:rPr>
        <w:t xml:space="preserve">néral de Passation des Marchés (Éventuellement) paru dans </w:t>
      </w:r>
      <w:r w:rsidRPr="00D95CD8">
        <w:rPr>
          <w:rFonts w:ascii="Times New Roman" w:eastAsia="Times New Roman" w:hAnsi="Times New Roman" w:cs="Arial"/>
          <w:i/>
          <w:iCs/>
          <w:sz w:val="24"/>
          <w:szCs w:val="24"/>
          <w:lang w:eastAsia="fr-FR"/>
        </w:rPr>
        <w:t>[Insérer le nom de la publication]</w:t>
      </w:r>
      <w:r w:rsidRPr="00D95CD8">
        <w:rPr>
          <w:rFonts w:ascii="Times New Roman" w:eastAsia="Times New Roman" w:hAnsi="Times New Roman" w:cs="Arial"/>
          <w:sz w:val="24"/>
          <w:szCs w:val="24"/>
          <w:lang w:eastAsia="fr-FR"/>
        </w:rPr>
        <w:t xml:space="preserve"> du </w:t>
      </w:r>
      <w:r w:rsidRPr="00D95CD8">
        <w:rPr>
          <w:rFonts w:ascii="Times New Roman" w:eastAsia="Times New Roman" w:hAnsi="Times New Roman" w:cs="Arial"/>
          <w:i/>
          <w:iCs/>
          <w:sz w:val="24"/>
          <w:szCs w:val="24"/>
          <w:lang w:eastAsia="fr-FR"/>
        </w:rPr>
        <w:t>[Insérer la date]</w:t>
      </w:r>
      <w:r w:rsidRPr="00D95CD8">
        <w:rPr>
          <w:rFonts w:ascii="Times New Roman" w:eastAsia="Times New Roman" w:hAnsi="Times New Roman" w:cs="Arial"/>
          <w:iCs/>
          <w:sz w:val="24"/>
          <w:szCs w:val="24"/>
          <w:lang w:eastAsia="fr-FR"/>
        </w:rPr>
        <w:t>.</w:t>
      </w:r>
    </w:p>
    <w:p w:rsidR="00D95CD8" w:rsidRPr="00D95CD8" w:rsidRDefault="00D95CD8" w:rsidP="00D95CD8">
      <w:pPr>
        <w:suppressAutoHyphens/>
        <w:overflowPunct w:val="0"/>
        <w:autoSpaceDE w:val="0"/>
        <w:autoSpaceDN w:val="0"/>
        <w:adjustRightInd w:val="0"/>
        <w:spacing w:after="0" w:line="240" w:lineRule="auto"/>
        <w:ind w:left="420"/>
        <w:jc w:val="both"/>
        <w:rPr>
          <w:rFonts w:ascii="Times New Roman" w:eastAsia="Times New Roman" w:hAnsi="Times New Roman" w:cs="Arial"/>
          <w:b/>
          <w:i/>
          <w:iCs/>
          <w:color w:val="FF0000"/>
          <w:sz w:val="24"/>
          <w:szCs w:val="24"/>
          <w:highlight w:val="yellow"/>
          <w:lang w:eastAsia="fr-FR"/>
        </w:rPr>
      </w:pPr>
      <w:r w:rsidRPr="00D95CD8">
        <w:rPr>
          <w:rFonts w:ascii="Times New Roman" w:eastAsia="Times New Roman" w:hAnsi="Times New Roman" w:cs="Times New Roman"/>
          <w:b/>
          <w:snapToGrid w:val="0"/>
          <w:sz w:val="24"/>
          <w:szCs w:val="24"/>
          <w:lang w:val="fr-CA"/>
        </w:rPr>
        <w:t>Le Ministère des Maliens Établis à l’Extérieur et de l’Intégration Africaine</w:t>
      </w:r>
      <w:r w:rsidRPr="00D95CD8">
        <w:rPr>
          <w:rFonts w:ascii="Times New Roman" w:eastAsia="Times New Roman" w:hAnsi="Times New Roman" w:cs="Arial"/>
          <w:i/>
          <w:iCs/>
          <w:sz w:val="24"/>
          <w:szCs w:val="24"/>
          <w:lang w:val="fr-CA" w:eastAsia="fr-FR"/>
        </w:rPr>
        <w:t xml:space="preserve"> </w:t>
      </w:r>
      <w:r w:rsidRPr="00D95CD8">
        <w:rPr>
          <w:rFonts w:ascii="Times New Roman" w:eastAsia="Times New Roman" w:hAnsi="Times New Roman" w:cs="Arial"/>
          <w:i/>
          <w:iCs/>
          <w:sz w:val="24"/>
          <w:szCs w:val="24"/>
          <w:lang w:eastAsia="fr-FR"/>
        </w:rPr>
        <w:t xml:space="preserve">a obtenu </w:t>
      </w:r>
      <w:r w:rsidRPr="00D95CD8">
        <w:rPr>
          <w:rFonts w:ascii="Times New Roman" w:eastAsia="Times New Roman" w:hAnsi="Times New Roman" w:cs="Arial"/>
          <w:sz w:val="24"/>
          <w:szCs w:val="24"/>
          <w:lang w:eastAsia="fr-FR"/>
        </w:rPr>
        <w:t xml:space="preserve">des fonds du </w:t>
      </w:r>
      <w:r w:rsidRPr="00D95CD8">
        <w:rPr>
          <w:rFonts w:ascii="Times New Roman" w:eastAsia="Times New Roman" w:hAnsi="Times New Roman" w:cs="Arial"/>
          <w:b/>
          <w:sz w:val="24"/>
          <w:szCs w:val="24"/>
          <w:lang w:eastAsia="fr-FR"/>
        </w:rPr>
        <w:t xml:space="preserve">Budget National Exercice 2021; </w:t>
      </w:r>
      <w:r w:rsidRPr="00D95CD8">
        <w:rPr>
          <w:rFonts w:ascii="Times New Roman" w:eastAsia="Times New Roman" w:hAnsi="Times New Roman" w:cs="Arial"/>
          <w:b/>
          <w:i/>
          <w:iCs/>
          <w:color w:val="FF0000"/>
          <w:sz w:val="24"/>
          <w:szCs w:val="24"/>
          <w:highlight w:val="yellow"/>
          <w:lang w:eastAsia="fr-FR"/>
        </w:rPr>
        <w:t xml:space="preserve">Section : CE : 23-5-1-02   et  </w:t>
      </w:r>
    </w:p>
    <w:p w:rsidR="00D95CD8" w:rsidRPr="00D95CD8" w:rsidRDefault="00D95CD8" w:rsidP="00D95CD8">
      <w:pPr>
        <w:suppressAutoHyphens/>
        <w:overflowPunct w:val="0"/>
        <w:autoSpaceDE w:val="0"/>
        <w:autoSpaceDN w:val="0"/>
        <w:adjustRightInd w:val="0"/>
        <w:spacing w:after="0" w:line="240" w:lineRule="auto"/>
        <w:ind w:left="420"/>
        <w:jc w:val="both"/>
        <w:rPr>
          <w:rFonts w:ascii="Times New Roman" w:eastAsia="Times New Roman" w:hAnsi="Times New Roman" w:cs="Arial"/>
          <w:b/>
          <w:sz w:val="24"/>
          <w:szCs w:val="24"/>
          <w:lang w:eastAsia="fr-FR"/>
        </w:rPr>
      </w:pPr>
      <w:r w:rsidRPr="00D95CD8">
        <w:rPr>
          <w:rFonts w:ascii="Times New Roman" w:eastAsia="Times New Roman" w:hAnsi="Times New Roman" w:cs="Arial"/>
          <w:b/>
          <w:i/>
          <w:iCs/>
          <w:color w:val="FF0000"/>
          <w:sz w:val="24"/>
          <w:szCs w:val="24"/>
          <w:highlight w:val="yellow"/>
          <w:lang w:eastAsia="fr-FR"/>
        </w:rPr>
        <w:t xml:space="preserve">UF : 32-6-2021-3247-001-000000       </w:t>
      </w:r>
      <w:r w:rsidRPr="00D95CD8">
        <w:rPr>
          <w:rFonts w:ascii="Times New Roman" w:eastAsia="Times New Roman" w:hAnsi="Times New Roman" w:cs="Arial"/>
          <w:sz w:val="24"/>
          <w:szCs w:val="24"/>
          <w:lang w:eastAsia="fr-FR"/>
        </w:rPr>
        <w:t xml:space="preserve">afin de financer les </w:t>
      </w:r>
      <w:r w:rsidRPr="00D95CD8">
        <w:rPr>
          <w:rFonts w:ascii="Times New Roman" w:eastAsia="Times New Roman" w:hAnsi="Times New Roman" w:cs="Arial"/>
          <w:b/>
          <w:sz w:val="24"/>
          <w:szCs w:val="24"/>
          <w:lang w:eastAsia="fr-FR"/>
        </w:rPr>
        <w:t xml:space="preserve">travaux de réhabilitation de la Cellule Technique de </w:t>
      </w:r>
      <w:proofErr w:type="spellStart"/>
      <w:r w:rsidRPr="00D95CD8">
        <w:rPr>
          <w:rFonts w:ascii="Times New Roman" w:eastAsia="Times New Roman" w:hAnsi="Times New Roman" w:cs="Arial"/>
          <w:b/>
          <w:sz w:val="24"/>
          <w:szCs w:val="24"/>
          <w:lang w:eastAsia="fr-FR"/>
        </w:rPr>
        <w:t>co-developpement</w:t>
      </w:r>
      <w:proofErr w:type="spellEnd"/>
      <w:r w:rsidRPr="00D95CD8">
        <w:rPr>
          <w:rFonts w:ascii="Times New Roman" w:eastAsia="Times New Roman" w:hAnsi="Times New Roman" w:cs="Arial"/>
          <w:b/>
          <w:sz w:val="24"/>
          <w:szCs w:val="24"/>
          <w:lang w:eastAsia="fr-FR"/>
        </w:rPr>
        <w:t xml:space="preserve"> (CTC) et du Centre d’Information de Gestion des Migrations (CIGEM) en deux(02) lots distincts,</w:t>
      </w:r>
      <w:r w:rsidRPr="00D95CD8">
        <w:rPr>
          <w:rFonts w:ascii="Times New Roman" w:eastAsia="Times New Roman" w:hAnsi="Times New Roman" w:cs="Arial"/>
          <w:sz w:val="24"/>
          <w:szCs w:val="24"/>
          <w:lang w:eastAsia="fr-FR"/>
        </w:rPr>
        <w:t xml:space="preserve"> et à l’intention d’utiliser une partie de ces fonds pour effectuer des paiements au titre du Marché relatif aux </w:t>
      </w:r>
      <w:r w:rsidRPr="00D95CD8">
        <w:rPr>
          <w:rFonts w:ascii="Times New Roman" w:eastAsia="Times New Roman" w:hAnsi="Times New Roman" w:cs="Arial"/>
          <w:b/>
          <w:sz w:val="24"/>
          <w:szCs w:val="24"/>
          <w:lang w:eastAsia="fr-FR"/>
        </w:rPr>
        <w:t xml:space="preserve"> travaux de réhabilitation de la Cellule Technique de </w:t>
      </w:r>
      <w:proofErr w:type="spellStart"/>
      <w:r w:rsidRPr="00D95CD8">
        <w:rPr>
          <w:rFonts w:ascii="Times New Roman" w:eastAsia="Times New Roman" w:hAnsi="Times New Roman" w:cs="Arial"/>
          <w:b/>
          <w:sz w:val="24"/>
          <w:szCs w:val="24"/>
          <w:lang w:eastAsia="fr-FR"/>
        </w:rPr>
        <w:t>co-developpement</w:t>
      </w:r>
      <w:proofErr w:type="spellEnd"/>
      <w:r w:rsidRPr="00D95CD8">
        <w:rPr>
          <w:rFonts w:ascii="Times New Roman" w:eastAsia="Times New Roman" w:hAnsi="Times New Roman" w:cs="Arial"/>
          <w:b/>
          <w:sz w:val="24"/>
          <w:szCs w:val="24"/>
          <w:lang w:eastAsia="fr-FR"/>
        </w:rPr>
        <w:t xml:space="preserve"> (CTC) et du Centre d’Information de Gestion des Migrations (CIGEM) en deux(02) lots distincts.</w:t>
      </w:r>
    </w:p>
    <w:p w:rsidR="00D95CD8" w:rsidRPr="00D95CD8" w:rsidRDefault="00D95CD8" w:rsidP="00D95CD8">
      <w:pPr>
        <w:suppressAutoHyphens/>
        <w:overflowPunct w:val="0"/>
        <w:autoSpaceDE w:val="0"/>
        <w:autoSpaceDN w:val="0"/>
        <w:adjustRightInd w:val="0"/>
        <w:spacing w:after="0" w:line="240" w:lineRule="auto"/>
        <w:rPr>
          <w:rFonts w:ascii="Times New Roman" w:eastAsia="Times New Roman" w:hAnsi="Times New Roman" w:cs="Arial"/>
          <w:b/>
          <w:sz w:val="24"/>
          <w:szCs w:val="24"/>
          <w:lang w:eastAsia="fr-FR"/>
        </w:rPr>
      </w:pPr>
    </w:p>
    <w:p w:rsidR="00D95CD8" w:rsidRPr="00D95CD8" w:rsidRDefault="00D95CD8" w:rsidP="00D95CD8">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cs="Arial"/>
          <w:b/>
          <w:sz w:val="24"/>
          <w:szCs w:val="24"/>
          <w:lang w:eastAsia="fr-FR"/>
        </w:rPr>
      </w:pPr>
      <w:r w:rsidRPr="00D95CD8">
        <w:rPr>
          <w:rFonts w:ascii="Times New Roman" w:eastAsia="Times New Roman" w:hAnsi="Times New Roman" w:cs="Times New Roman"/>
          <w:b/>
          <w:snapToGrid w:val="0"/>
          <w:sz w:val="24"/>
          <w:szCs w:val="24"/>
          <w:lang w:val="fr-CA"/>
        </w:rPr>
        <w:t xml:space="preserve">Le Ministère des Maliens Établis à l’Extérieur et de l’Intégration Africaine </w:t>
      </w:r>
      <w:r w:rsidRPr="00D95CD8">
        <w:rPr>
          <w:rFonts w:ascii="Times New Roman" w:eastAsia="Times New Roman" w:hAnsi="Times New Roman" w:cs="Arial"/>
          <w:b/>
          <w:bCs/>
          <w:i/>
          <w:iCs/>
          <w:sz w:val="24"/>
          <w:szCs w:val="24"/>
          <w:lang w:val="fr-CA" w:eastAsia="fr-FR"/>
        </w:rPr>
        <w:t xml:space="preserve"> </w:t>
      </w:r>
      <w:r w:rsidRPr="00D95CD8">
        <w:rPr>
          <w:rFonts w:ascii="Times New Roman" w:eastAsia="Times New Roman" w:hAnsi="Times New Roman" w:cs="Arial"/>
          <w:sz w:val="24"/>
          <w:szCs w:val="24"/>
          <w:lang w:eastAsia="fr-FR"/>
        </w:rPr>
        <w:t xml:space="preserve">sollicite des offres fermées de la part de candidats éligibles et répondant aux qualifications requises pour réaliser les travaux suivants : </w:t>
      </w:r>
      <w:r w:rsidRPr="00D95CD8">
        <w:rPr>
          <w:rFonts w:ascii="Times New Roman" w:eastAsia="Times New Roman" w:hAnsi="Times New Roman" w:cs="Arial"/>
          <w:b/>
          <w:sz w:val="24"/>
          <w:szCs w:val="24"/>
          <w:lang w:eastAsia="fr-FR"/>
        </w:rPr>
        <w:t xml:space="preserve">travaux de réhabilitation de la Cellule Technique de </w:t>
      </w:r>
      <w:proofErr w:type="spellStart"/>
      <w:r w:rsidRPr="00D95CD8">
        <w:rPr>
          <w:rFonts w:ascii="Times New Roman" w:eastAsia="Times New Roman" w:hAnsi="Times New Roman" w:cs="Arial"/>
          <w:b/>
          <w:sz w:val="24"/>
          <w:szCs w:val="24"/>
          <w:lang w:eastAsia="fr-FR"/>
        </w:rPr>
        <w:t>co-developpement</w:t>
      </w:r>
      <w:proofErr w:type="spellEnd"/>
      <w:r w:rsidRPr="00D95CD8">
        <w:rPr>
          <w:rFonts w:ascii="Times New Roman" w:eastAsia="Times New Roman" w:hAnsi="Times New Roman" w:cs="Arial"/>
          <w:b/>
          <w:sz w:val="24"/>
          <w:szCs w:val="24"/>
          <w:lang w:eastAsia="fr-FR"/>
        </w:rPr>
        <w:t xml:space="preserve"> (CTC) et du Centre d’Information de Gestion des Migrations (CIGEM) en deux(02) lots distincts.</w:t>
      </w:r>
    </w:p>
    <w:p w:rsidR="00D95CD8" w:rsidRPr="00D95CD8" w:rsidRDefault="00D95CD8" w:rsidP="00D95CD8">
      <w:pPr>
        <w:suppressAutoHyphens/>
        <w:overflowPunct w:val="0"/>
        <w:autoSpaceDE w:val="0"/>
        <w:autoSpaceDN w:val="0"/>
        <w:adjustRightInd w:val="0"/>
        <w:spacing w:after="0" w:line="240" w:lineRule="auto"/>
        <w:ind w:left="780"/>
        <w:rPr>
          <w:rFonts w:ascii="Times New Roman" w:eastAsia="Times New Roman" w:hAnsi="Times New Roman" w:cs="Arial"/>
          <w:b/>
          <w:sz w:val="24"/>
          <w:szCs w:val="24"/>
          <w:lang w:eastAsia="fr-FR"/>
        </w:rPr>
      </w:pPr>
    </w:p>
    <w:p w:rsidR="00D95CD8" w:rsidRPr="00D95CD8" w:rsidRDefault="00D95CD8" w:rsidP="00D95CD8">
      <w:pPr>
        <w:numPr>
          <w:ilvl w:val="0"/>
          <w:numId w:val="1"/>
        </w:numPr>
        <w:suppressAutoHyphens/>
        <w:overflowPunct w:val="0"/>
        <w:autoSpaceDE w:val="0"/>
        <w:autoSpaceDN w:val="0"/>
        <w:adjustRightInd w:val="0"/>
        <w:spacing w:after="0" w:line="240" w:lineRule="auto"/>
        <w:jc w:val="both"/>
        <w:rPr>
          <w:rFonts w:ascii="Times New Roman" w:eastAsia="Times New Roman" w:hAnsi="Times New Roman" w:cs="Arial"/>
          <w:b/>
          <w:sz w:val="24"/>
          <w:szCs w:val="24"/>
          <w:lang w:eastAsia="fr-FR"/>
        </w:rPr>
      </w:pPr>
      <w:r w:rsidRPr="00D95CD8">
        <w:rPr>
          <w:rFonts w:ascii="Times New Roman" w:eastAsia="Times New Roman" w:hAnsi="Times New Roman" w:cs="Arial"/>
          <w:sz w:val="24"/>
          <w:szCs w:val="24"/>
          <w:lang w:eastAsia="fr-FR"/>
        </w:rPr>
        <w:t>La passation du Marché sera conduite par Appel d’offres restreint tel que défini dans le Code des Marchés publics à l’article 44</w:t>
      </w:r>
      <w:r w:rsidRPr="00D95CD8">
        <w:rPr>
          <w:rFonts w:ascii="Times New Roman" w:eastAsia="Times New Roman" w:hAnsi="Times New Roman" w:cs="Arial"/>
          <w:b/>
          <w:i/>
          <w:iCs/>
          <w:sz w:val="24"/>
          <w:szCs w:val="24"/>
          <w:lang w:eastAsia="fr-FR"/>
        </w:rPr>
        <w:t>,</w:t>
      </w:r>
      <w:r w:rsidRPr="00D95CD8">
        <w:rPr>
          <w:rFonts w:ascii="Times New Roman" w:eastAsia="Times New Roman" w:hAnsi="Times New Roman" w:cs="Arial"/>
          <w:sz w:val="24"/>
          <w:szCs w:val="24"/>
          <w:lang w:eastAsia="fr-FR"/>
        </w:rPr>
        <w:t xml:space="preserve"> et ouvert à tous les candidats éligibles. </w:t>
      </w:r>
    </w:p>
    <w:p w:rsidR="00D95CD8" w:rsidRPr="00D95CD8" w:rsidRDefault="00D95CD8" w:rsidP="00D95CD8">
      <w:pPr>
        <w:autoSpaceDN w:val="0"/>
        <w:spacing w:after="200" w:line="240" w:lineRule="auto"/>
        <w:jc w:val="both"/>
        <w:rPr>
          <w:rFonts w:ascii="Times New Roman" w:eastAsia="Times New Roman" w:hAnsi="Times New Roman" w:cs="Arial"/>
          <w:b/>
          <w:color w:val="000000"/>
          <w:sz w:val="24"/>
          <w:szCs w:val="24"/>
          <w:lang w:eastAsia="fr-FR"/>
        </w:rPr>
      </w:pPr>
      <w:r w:rsidRPr="00D95CD8">
        <w:rPr>
          <w:rFonts w:ascii="Times New Roman" w:eastAsia="Times New Roman" w:hAnsi="Times New Roman" w:cs="Arial"/>
          <w:sz w:val="24"/>
          <w:szCs w:val="24"/>
          <w:lang w:eastAsia="fr-FR"/>
        </w:rPr>
        <w:t xml:space="preserve">Les candidats intéressés peuvent obtenir des informations auprès du </w:t>
      </w:r>
      <w:r w:rsidRPr="00D95CD8">
        <w:rPr>
          <w:rFonts w:ascii="Times New Roman" w:eastAsia="Times New Roman" w:hAnsi="Times New Roman" w:cs="Arial"/>
          <w:b/>
          <w:color w:val="FF0000"/>
          <w:sz w:val="24"/>
          <w:szCs w:val="24"/>
          <w:lang w:eastAsia="fr-FR"/>
        </w:rPr>
        <w:t>Direction des Finances et du matériel du Ministère des Maliens Établis à l’Extérieur et de l’Intégration Africaine</w:t>
      </w:r>
      <w:r w:rsidRPr="00D95CD8">
        <w:rPr>
          <w:rFonts w:ascii="Times New Roman" w:eastAsia="Times New Roman" w:hAnsi="Times New Roman" w:cs="Arial"/>
          <w:sz w:val="24"/>
          <w:szCs w:val="24"/>
          <w:lang w:eastAsia="fr-FR"/>
        </w:rPr>
        <w:t xml:space="preserve"> et prendre connaissance des documents d’Appel d’offres à l’adresse mentionnée ci-après </w:t>
      </w:r>
      <w:r w:rsidRPr="00D95CD8">
        <w:rPr>
          <w:rFonts w:ascii="Arial" w:eastAsia="Times New Roman" w:hAnsi="Arial" w:cs="Arial"/>
          <w:b/>
          <w:sz w:val="20"/>
          <w:szCs w:val="20"/>
          <w:lang w:eastAsia="fr-FR"/>
        </w:rPr>
        <w:t>Hamdallaye ACI</w:t>
      </w:r>
      <w:r w:rsidRPr="00D95CD8">
        <w:rPr>
          <w:rFonts w:ascii="Arial" w:eastAsia="Times New Roman" w:hAnsi="Arial" w:cs="Arial"/>
          <w:b/>
          <w:bCs/>
          <w:sz w:val="20"/>
          <w:szCs w:val="20"/>
          <w:lang w:eastAsia="fr-FR"/>
        </w:rPr>
        <w:t>, Cité Administrative ; bâtiment N°6 ; BP: E815, Tél</w:t>
      </w:r>
      <w:r w:rsidRPr="00D95CD8">
        <w:rPr>
          <w:rFonts w:ascii="Arial" w:eastAsia="Times New Roman" w:hAnsi="Arial" w:cs="Arial"/>
          <w:b/>
          <w:sz w:val="20"/>
          <w:szCs w:val="20"/>
          <w:lang w:eastAsia="fr-FR"/>
        </w:rPr>
        <w:t xml:space="preserve">. : 20 01 66 23  – </w:t>
      </w:r>
      <w:r w:rsidRPr="00D95CD8">
        <w:rPr>
          <w:rFonts w:ascii="Times New Roman" w:eastAsia="Times New Roman" w:hAnsi="Times New Roman" w:cs="Arial"/>
          <w:b/>
          <w:i/>
          <w:iCs/>
          <w:color w:val="000000"/>
          <w:sz w:val="24"/>
          <w:szCs w:val="24"/>
          <w:lang w:eastAsia="fr-FR"/>
        </w:rPr>
        <w:t>Bamako de 08h 30 à 15h 30</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sz w:val="24"/>
          <w:szCs w:val="24"/>
          <w:lang w:eastAsia="fr-FR"/>
        </w:rPr>
      </w:pPr>
      <w:r w:rsidRPr="00D95CD8">
        <w:rPr>
          <w:rFonts w:ascii="Times New Roman" w:eastAsia="Times New Roman" w:hAnsi="Times New Roman" w:cs="Arial"/>
          <w:sz w:val="24"/>
          <w:szCs w:val="24"/>
          <w:lang w:eastAsia="fr-FR"/>
        </w:rPr>
        <w:t xml:space="preserve">Les exigences en matière de qualifications sont : </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sz w:val="24"/>
          <w:szCs w:val="24"/>
          <w:lang w:eastAsia="fr-FR"/>
        </w:rPr>
      </w:pPr>
      <w:r w:rsidRPr="00D95CD8">
        <w:rPr>
          <w:rFonts w:ascii="Arial" w:eastAsia="Times New Roman" w:hAnsi="Arial" w:cs="Arial"/>
          <w:sz w:val="24"/>
          <w:szCs w:val="24"/>
          <w:lang w:eastAsia="fr-FR"/>
        </w:rPr>
        <w:t>Capacité financière :</w:t>
      </w:r>
    </w:p>
    <w:p w:rsidR="00D95CD8" w:rsidRPr="00D95CD8" w:rsidRDefault="00D95CD8" w:rsidP="00D95CD8">
      <w:pPr>
        <w:numPr>
          <w:ilvl w:val="0"/>
          <w:numId w:val="2"/>
        </w:numPr>
        <w:suppressAutoHyphens/>
        <w:overflowPunct w:val="0"/>
        <w:autoSpaceDE w:val="0"/>
        <w:autoSpaceDN w:val="0"/>
        <w:adjustRightInd w:val="0"/>
        <w:spacing w:after="0" w:line="240" w:lineRule="auto"/>
        <w:jc w:val="both"/>
        <w:rPr>
          <w:rFonts w:ascii="Arial" w:eastAsia="Times New Roman" w:hAnsi="Arial" w:cs="Arial"/>
          <w:i/>
          <w:iCs/>
          <w:sz w:val="24"/>
          <w:szCs w:val="24"/>
          <w:lang w:eastAsia="fr-FR"/>
        </w:rPr>
      </w:pPr>
      <w:r w:rsidRPr="00D95CD8">
        <w:rPr>
          <w:rFonts w:ascii="Arial" w:eastAsia="Times New Roman" w:hAnsi="Arial" w:cs="Arial"/>
          <w:sz w:val="24"/>
          <w:szCs w:val="24"/>
          <w:lang w:eastAsia="fr-FR"/>
        </w:rPr>
        <w:t xml:space="preserve">avoir un chiffre d’affaires moyen des années 2018, 2019 et 2020 au moins égal au montant de l’offre, prouvé par les états financiers (bilans, extrait des bilans et comptes d’exploitation de la période indiquée) </w:t>
      </w:r>
      <w:r w:rsidRPr="00D95CD8">
        <w:rPr>
          <w:rFonts w:ascii="Arial" w:eastAsia="Times New Roman" w:hAnsi="Arial" w:cs="Arial"/>
          <w:sz w:val="24"/>
          <w:szCs w:val="24"/>
          <w:lang w:val="fr-CA" w:eastAsia="fr-FR"/>
        </w:rPr>
        <w:t>certifiés par un expert-comptable agréé ou attestés par un comptable agréé inscrit à l’Ordre, desquels on peut tirer les chiffres d’affaires considérés. Sur ces bilans doit figurer la mention suivante apposée par le service compétent des Impôts « Bilans ou extrait de bilans conformes aux déclarations souscrites au service des Impôts ».</w:t>
      </w:r>
    </w:p>
    <w:p w:rsidR="00D95CD8" w:rsidRPr="00D95CD8" w:rsidRDefault="00D95CD8" w:rsidP="00D95CD8">
      <w:pPr>
        <w:suppressAutoHyphens/>
        <w:overflowPunct w:val="0"/>
        <w:autoSpaceDE w:val="0"/>
        <w:autoSpaceDN w:val="0"/>
        <w:adjustRightInd w:val="0"/>
        <w:spacing w:after="0" w:line="240" w:lineRule="auto"/>
        <w:jc w:val="both"/>
        <w:rPr>
          <w:rFonts w:ascii="Arial" w:eastAsia="Times New Roman" w:hAnsi="Arial" w:cs="Arial"/>
          <w:sz w:val="24"/>
          <w:szCs w:val="24"/>
          <w:lang w:eastAsia="fr-FR"/>
        </w:rPr>
      </w:pPr>
    </w:p>
    <w:p w:rsidR="00D95CD8" w:rsidRPr="00D95CD8" w:rsidRDefault="00D95CD8" w:rsidP="00D95CD8">
      <w:pPr>
        <w:suppressAutoHyphens/>
        <w:overflowPunct w:val="0"/>
        <w:autoSpaceDE w:val="0"/>
        <w:autoSpaceDN w:val="0"/>
        <w:adjustRightInd w:val="0"/>
        <w:spacing w:after="0" w:line="240" w:lineRule="auto"/>
        <w:jc w:val="both"/>
        <w:rPr>
          <w:rFonts w:ascii="Arial" w:eastAsia="Times New Roman" w:hAnsi="Arial" w:cs="Arial"/>
          <w:sz w:val="24"/>
          <w:szCs w:val="24"/>
          <w:lang w:eastAsia="fr-FR"/>
        </w:rPr>
      </w:pPr>
      <w:r w:rsidRPr="00D95CD8">
        <w:rPr>
          <w:rFonts w:ascii="Arial" w:eastAsia="Times New Roman" w:hAnsi="Arial" w:cs="Arial"/>
          <w:sz w:val="24"/>
          <w:szCs w:val="24"/>
          <w:lang w:eastAsia="fr-FR"/>
        </w:rPr>
        <w:t xml:space="preserve">Les </w:t>
      </w:r>
      <w:r w:rsidRPr="00D95CD8">
        <w:rPr>
          <w:rFonts w:ascii="Arial" w:eastAsia="Times New Roman" w:hAnsi="Arial" w:cs="Arial"/>
          <w:b/>
          <w:sz w:val="24"/>
          <w:szCs w:val="24"/>
          <w:lang w:eastAsia="fr-FR"/>
        </w:rPr>
        <w:t>sociétés nouvellement créées</w:t>
      </w:r>
      <w:r w:rsidRPr="00D95CD8">
        <w:rPr>
          <w:rFonts w:ascii="Arial" w:eastAsia="Times New Roman" w:hAnsi="Arial" w:cs="Arial"/>
          <w:sz w:val="24"/>
          <w:szCs w:val="24"/>
          <w:lang w:eastAsia="fr-FR"/>
        </w:rPr>
        <w:t xml:space="preserve">, c'est-à-dire celles </w:t>
      </w:r>
      <w:r w:rsidRPr="00D95CD8">
        <w:rPr>
          <w:rFonts w:ascii="Arial" w:eastAsia="Times New Roman" w:hAnsi="Arial" w:cs="Arial"/>
          <w:sz w:val="24"/>
          <w:szCs w:val="24"/>
          <w:lang w:val="fr-CA" w:eastAsia="fr-FR"/>
        </w:rPr>
        <w:t>dont la date d’établissement du premier bilan n’est pas arrivée à la date de dépôt des offres, pour prouver leur qualification pour exécuter le marché, doivent :</w:t>
      </w:r>
    </w:p>
    <w:p w:rsidR="00D95CD8" w:rsidRPr="00D95CD8" w:rsidRDefault="00D95CD8" w:rsidP="00D95CD8">
      <w:pPr>
        <w:suppressAutoHyphens/>
        <w:overflowPunct w:val="0"/>
        <w:autoSpaceDE w:val="0"/>
        <w:autoSpaceDN w:val="0"/>
        <w:adjustRightInd w:val="0"/>
        <w:spacing w:after="0" w:line="240" w:lineRule="auto"/>
        <w:jc w:val="both"/>
        <w:rPr>
          <w:rFonts w:ascii="Arial" w:eastAsia="Times New Roman" w:hAnsi="Arial" w:cs="Arial"/>
          <w:sz w:val="24"/>
          <w:szCs w:val="24"/>
          <w:lang w:eastAsia="fr-FR"/>
        </w:rPr>
      </w:pPr>
    </w:p>
    <w:p w:rsidR="00D95CD8" w:rsidRPr="00D95CD8" w:rsidRDefault="00D95CD8" w:rsidP="00D95CD8">
      <w:pPr>
        <w:numPr>
          <w:ilvl w:val="0"/>
          <w:numId w:val="3"/>
        </w:numPr>
        <w:suppressAutoHyphens/>
        <w:overflowPunct w:val="0"/>
        <w:autoSpaceDE w:val="0"/>
        <w:autoSpaceDN w:val="0"/>
        <w:adjustRightInd w:val="0"/>
        <w:spacing w:after="0" w:line="240" w:lineRule="auto"/>
        <w:jc w:val="both"/>
        <w:rPr>
          <w:rFonts w:ascii="Arial" w:eastAsia="Times New Roman" w:hAnsi="Arial" w:cs="Arial"/>
          <w:sz w:val="24"/>
          <w:szCs w:val="24"/>
          <w:lang w:eastAsia="fr-FR"/>
        </w:rPr>
      </w:pPr>
      <w:r w:rsidRPr="00D95CD8">
        <w:rPr>
          <w:rFonts w:ascii="Arial" w:eastAsia="Times New Roman" w:hAnsi="Arial" w:cs="Arial"/>
          <w:sz w:val="24"/>
          <w:szCs w:val="24"/>
          <w:lang w:eastAsia="fr-FR"/>
        </w:rPr>
        <w:t>pour prouver leur capacité financière :</w:t>
      </w:r>
    </w:p>
    <w:p w:rsidR="00D95CD8" w:rsidRPr="00D95CD8" w:rsidRDefault="00D95CD8" w:rsidP="00D95CD8">
      <w:pPr>
        <w:suppressAutoHyphens/>
        <w:overflowPunct w:val="0"/>
        <w:autoSpaceDE w:val="0"/>
        <w:autoSpaceDN w:val="0"/>
        <w:adjustRightInd w:val="0"/>
        <w:spacing w:after="0" w:line="240" w:lineRule="auto"/>
        <w:jc w:val="both"/>
        <w:rPr>
          <w:rFonts w:ascii="Arial" w:eastAsia="Times New Roman" w:hAnsi="Arial" w:cs="Arial"/>
          <w:sz w:val="24"/>
          <w:szCs w:val="24"/>
          <w:lang w:eastAsia="fr-FR"/>
        </w:rPr>
      </w:pPr>
    </w:p>
    <w:p w:rsidR="00D95CD8" w:rsidRPr="00D95CD8" w:rsidRDefault="00D95CD8" w:rsidP="00D95CD8">
      <w:pPr>
        <w:numPr>
          <w:ilvl w:val="0"/>
          <w:numId w:val="4"/>
        </w:numPr>
        <w:suppressAutoHyphens/>
        <w:overflowPunct w:val="0"/>
        <w:autoSpaceDE w:val="0"/>
        <w:autoSpaceDN w:val="0"/>
        <w:adjustRightInd w:val="0"/>
        <w:spacing w:after="0" w:line="240" w:lineRule="auto"/>
        <w:jc w:val="both"/>
        <w:rPr>
          <w:rFonts w:ascii="Arial" w:eastAsia="Times New Roman" w:hAnsi="Arial" w:cs="Arial"/>
          <w:sz w:val="24"/>
          <w:szCs w:val="24"/>
          <w:lang w:eastAsia="fr-FR"/>
        </w:rPr>
      </w:pPr>
      <w:r w:rsidRPr="00D95CD8">
        <w:rPr>
          <w:rFonts w:ascii="Arial" w:eastAsia="Times New Roman" w:hAnsi="Arial" w:cs="Arial"/>
          <w:color w:val="000000"/>
          <w:sz w:val="24"/>
          <w:szCs w:val="24"/>
          <w:lang w:eastAsia="fr-FR"/>
        </w:rPr>
        <w:lastRenderedPageBreak/>
        <w:t xml:space="preserve">fournir </w:t>
      </w:r>
      <w:r w:rsidRPr="00D95CD8">
        <w:rPr>
          <w:rFonts w:ascii="Arial" w:eastAsia="Times New Roman" w:hAnsi="Arial" w:cs="Arial"/>
          <w:color w:val="000000"/>
          <w:sz w:val="24"/>
          <w:szCs w:val="24"/>
          <w:lang w:val="fr-CA" w:eastAsia="fr-FR"/>
        </w:rPr>
        <w:t>soit une attestation, (une ligne de crédit)</w:t>
      </w:r>
      <w:r w:rsidRPr="00D95CD8">
        <w:rPr>
          <w:rFonts w:ascii="Arial" w:eastAsia="Times New Roman" w:hAnsi="Arial" w:cs="Arial"/>
          <w:sz w:val="24"/>
          <w:szCs w:val="24"/>
          <w:lang w:val="fr-CA" w:eastAsia="fr-FR"/>
        </w:rPr>
        <w:t xml:space="preserve"> dans laquelle la banque atteste que le candidat dispose de liquidité au moins égale au montant de son offre ou un engagement ferme de la banque à accompagner le candidat dans le financement du marché au cas où il sera retenu comme attributaire du marché, conformément à l’annexe 10 de la présente Demande de Renseignements et de Prix à Compétition Ouverte.</w:t>
      </w:r>
    </w:p>
    <w:p w:rsidR="00D95CD8" w:rsidRPr="00D95CD8" w:rsidRDefault="00D95CD8" w:rsidP="00D95CD8">
      <w:pPr>
        <w:numPr>
          <w:ilvl w:val="0"/>
          <w:numId w:val="5"/>
        </w:numPr>
        <w:suppressAutoHyphens/>
        <w:overflowPunct w:val="0"/>
        <w:autoSpaceDE w:val="0"/>
        <w:autoSpaceDN w:val="0"/>
        <w:adjustRightInd w:val="0"/>
        <w:spacing w:after="200" w:line="240" w:lineRule="auto"/>
        <w:jc w:val="both"/>
        <w:rPr>
          <w:rFonts w:ascii="Times New Roman" w:eastAsia="Times New Roman" w:hAnsi="Times New Roman" w:cs="Arial"/>
          <w:sz w:val="24"/>
          <w:szCs w:val="24"/>
          <w:lang w:eastAsia="fr-FR"/>
        </w:rPr>
      </w:pPr>
      <w:r w:rsidRPr="00D95CD8">
        <w:rPr>
          <w:rFonts w:ascii="Times New Roman" w:eastAsia="Times New Roman" w:hAnsi="Times New Roman" w:cs="Arial"/>
          <w:sz w:val="24"/>
          <w:szCs w:val="24"/>
          <w:lang w:eastAsia="fr-FR"/>
        </w:rPr>
        <w:t xml:space="preserve">Voir le DPAO pour les informations détaillées. </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b/>
          <w:color w:val="000000"/>
          <w:sz w:val="24"/>
          <w:szCs w:val="24"/>
          <w:lang w:eastAsia="fr-FR"/>
        </w:rPr>
      </w:pPr>
      <w:r w:rsidRPr="00D95CD8">
        <w:rPr>
          <w:rFonts w:ascii="Times New Roman" w:eastAsia="Times New Roman" w:hAnsi="Times New Roman" w:cs="Arial"/>
          <w:sz w:val="24"/>
          <w:szCs w:val="24"/>
          <w:lang w:eastAsia="fr-FR"/>
        </w:rPr>
        <w:t xml:space="preserve">Les candidats intéressés peuvent consulter gratuitement le dossier d’Appel d’offres complet ou le retirer à titre onéreux contre paiement d’une somme non remboursable de </w:t>
      </w:r>
      <w:r w:rsidRPr="00D95CD8">
        <w:rPr>
          <w:rFonts w:ascii="Times New Roman" w:eastAsia="Times New Roman" w:hAnsi="Times New Roman" w:cs="Arial"/>
          <w:b/>
          <w:i/>
          <w:iCs/>
          <w:sz w:val="24"/>
          <w:szCs w:val="24"/>
          <w:lang w:eastAsia="fr-FR"/>
        </w:rPr>
        <w:t xml:space="preserve">Cent  Mille (100 000) Francs CFA par lot </w:t>
      </w:r>
      <w:r w:rsidRPr="00D95CD8">
        <w:rPr>
          <w:rFonts w:ascii="Times New Roman" w:eastAsia="Times New Roman" w:hAnsi="Times New Roman" w:cs="Arial"/>
          <w:sz w:val="24"/>
          <w:szCs w:val="24"/>
          <w:lang w:eastAsia="fr-FR"/>
        </w:rPr>
        <w:t xml:space="preserve">à l’adresse mentionnée ci-après </w:t>
      </w:r>
      <w:r w:rsidRPr="00D95CD8">
        <w:rPr>
          <w:rFonts w:ascii="Arial" w:eastAsia="Times New Roman" w:hAnsi="Arial" w:cs="Arial"/>
          <w:b/>
          <w:sz w:val="20"/>
          <w:szCs w:val="20"/>
          <w:lang w:eastAsia="fr-FR"/>
        </w:rPr>
        <w:t>Hamdallaye ACI</w:t>
      </w:r>
      <w:r w:rsidRPr="00D95CD8">
        <w:rPr>
          <w:rFonts w:ascii="Arial" w:eastAsia="Times New Roman" w:hAnsi="Arial" w:cs="Arial"/>
          <w:b/>
          <w:bCs/>
          <w:sz w:val="20"/>
          <w:szCs w:val="20"/>
          <w:lang w:eastAsia="fr-FR"/>
        </w:rPr>
        <w:t>, Cité Administrative ; bâtiment N°6 ; BP: E815, Tél</w:t>
      </w:r>
      <w:r w:rsidRPr="00D95CD8">
        <w:rPr>
          <w:rFonts w:ascii="Arial" w:eastAsia="Times New Roman" w:hAnsi="Arial" w:cs="Arial"/>
          <w:sz w:val="20"/>
          <w:szCs w:val="20"/>
          <w:lang w:eastAsia="fr-FR"/>
        </w:rPr>
        <w:t xml:space="preserve">. : </w:t>
      </w:r>
      <w:r w:rsidRPr="00D95CD8">
        <w:rPr>
          <w:rFonts w:ascii="Arial" w:eastAsia="Times New Roman" w:hAnsi="Arial" w:cs="Arial"/>
          <w:b/>
          <w:sz w:val="20"/>
          <w:szCs w:val="20"/>
          <w:lang w:eastAsia="fr-FR"/>
        </w:rPr>
        <w:t xml:space="preserve">20 01 66 23 – </w:t>
      </w:r>
      <w:r w:rsidRPr="00D95CD8">
        <w:rPr>
          <w:rFonts w:ascii="Arial" w:eastAsia="Times New Roman" w:hAnsi="Arial" w:cs="Arial"/>
          <w:b/>
          <w:bCs/>
          <w:sz w:val="20"/>
          <w:szCs w:val="20"/>
          <w:lang w:eastAsia="fr-FR"/>
        </w:rPr>
        <w:t>Bamako</w:t>
      </w:r>
      <w:r w:rsidRPr="00D95CD8">
        <w:rPr>
          <w:rFonts w:ascii="Times New Roman" w:eastAsia="Calibri" w:hAnsi="Times New Roman" w:cs="Times New Roman"/>
          <w:b/>
          <w:color w:val="000000"/>
          <w:sz w:val="24"/>
          <w:szCs w:val="24"/>
        </w:rPr>
        <w:t xml:space="preserve"> </w:t>
      </w:r>
      <w:r w:rsidRPr="00D95CD8">
        <w:rPr>
          <w:rFonts w:ascii="Times New Roman" w:eastAsia="Times New Roman" w:hAnsi="Times New Roman" w:cs="Arial"/>
          <w:b/>
          <w:color w:val="000000"/>
          <w:sz w:val="24"/>
          <w:szCs w:val="24"/>
          <w:lang w:eastAsia="fr-FR"/>
        </w:rPr>
        <w:t xml:space="preserve">de </w:t>
      </w:r>
      <w:r w:rsidRPr="00D95CD8">
        <w:rPr>
          <w:rFonts w:ascii="Times New Roman" w:eastAsia="Times New Roman" w:hAnsi="Times New Roman" w:cs="Arial"/>
          <w:b/>
          <w:i/>
          <w:iCs/>
          <w:color w:val="000000"/>
          <w:sz w:val="24"/>
          <w:szCs w:val="24"/>
          <w:lang w:eastAsia="fr-FR"/>
        </w:rPr>
        <w:t>08h30 à 15h 30</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b/>
          <w:sz w:val="24"/>
          <w:szCs w:val="24"/>
          <w:lang w:eastAsia="fr-FR"/>
        </w:rPr>
      </w:pPr>
      <w:r w:rsidRPr="00D95CD8">
        <w:rPr>
          <w:rFonts w:ascii="Times New Roman" w:eastAsia="Times New Roman" w:hAnsi="Times New Roman" w:cs="Arial"/>
          <w:i/>
          <w:iCs/>
          <w:color w:val="FF0000"/>
          <w:sz w:val="24"/>
          <w:szCs w:val="24"/>
          <w:lang w:eastAsia="fr-FR"/>
        </w:rPr>
        <w:t xml:space="preserve">. </w:t>
      </w:r>
      <w:r w:rsidRPr="00D95CD8">
        <w:rPr>
          <w:rFonts w:ascii="Times New Roman" w:eastAsia="Times New Roman" w:hAnsi="Times New Roman" w:cs="Arial"/>
          <w:color w:val="000000"/>
          <w:sz w:val="24"/>
          <w:szCs w:val="24"/>
          <w:lang w:eastAsia="fr-FR"/>
        </w:rPr>
        <w:t>La</w:t>
      </w:r>
      <w:r w:rsidRPr="00D95CD8">
        <w:rPr>
          <w:rFonts w:ascii="Times New Roman" w:eastAsia="Times New Roman" w:hAnsi="Times New Roman" w:cs="Arial"/>
          <w:sz w:val="24"/>
          <w:szCs w:val="24"/>
          <w:lang w:eastAsia="fr-FR"/>
        </w:rPr>
        <w:t xml:space="preserve"> méthode de paiement sera </w:t>
      </w:r>
      <w:r w:rsidRPr="00D95CD8">
        <w:rPr>
          <w:rFonts w:ascii="Times New Roman" w:eastAsia="Times New Roman" w:hAnsi="Times New Roman" w:cs="Arial"/>
          <w:b/>
          <w:i/>
          <w:iCs/>
          <w:sz w:val="24"/>
          <w:szCs w:val="24"/>
          <w:lang w:eastAsia="fr-FR"/>
        </w:rPr>
        <w:t>en espèce</w:t>
      </w:r>
      <w:r w:rsidRPr="00D95CD8">
        <w:rPr>
          <w:rFonts w:ascii="Times New Roman" w:eastAsia="Times New Roman" w:hAnsi="Times New Roman" w:cs="Arial"/>
          <w:i/>
          <w:iCs/>
          <w:sz w:val="24"/>
          <w:szCs w:val="24"/>
          <w:lang w:eastAsia="fr-FR"/>
        </w:rPr>
        <w:t>.</w:t>
      </w:r>
      <w:r w:rsidRPr="00D95CD8">
        <w:rPr>
          <w:rFonts w:ascii="Times New Roman" w:eastAsia="Times New Roman" w:hAnsi="Times New Roman" w:cs="Arial"/>
          <w:sz w:val="24"/>
          <w:szCs w:val="24"/>
          <w:lang w:eastAsia="fr-FR"/>
        </w:rPr>
        <w:t xml:space="preserve"> Le Dossier d’Appel d’offres sera adressé par </w:t>
      </w:r>
      <w:r w:rsidRPr="00D95CD8">
        <w:rPr>
          <w:rFonts w:ascii="Times New Roman" w:eastAsia="Times New Roman" w:hAnsi="Times New Roman" w:cs="Arial"/>
          <w:b/>
          <w:sz w:val="24"/>
          <w:szCs w:val="24"/>
          <w:lang w:eastAsia="fr-FR"/>
        </w:rPr>
        <w:t>support du papier et par support électronique</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sz w:val="24"/>
          <w:szCs w:val="24"/>
          <w:lang w:eastAsia="fr-FR"/>
        </w:rPr>
      </w:pPr>
      <w:r w:rsidRPr="00D95CD8">
        <w:rPr>
          <w:rFonts w:ascii="Times New Roman" w:eastAsia="Times New Roman" w:hAnsi="Times New Roman" w:cs="Arial"/>
          <w:sz w:val="24"/>
          <w:szCs w:val="24"/>
          <w:lang w:eastAsia="fr-FR"/>
        </w:rPr>
        <w:t xml:space="preserve">Les offres devront être soumises à l’adresse ci-après : </w:t>
      </w:r>
      <w:r w:rsidRPr="00D95CD8">
        <w:rPr>
          <w:rFonts w:ascii="Times New Roman" w:eastAsia="Times New Roman" w:hAnsi="Times New Roman" w:cs="Arial"/>
          <w:b/>
          <w:color w:val="FF0000"/>
          <w:sz w:val="24"/>
          <w:szCs w:val="24"/>
          <w:lang w:eastAsia="fr-FR"/>
        </w:rPr>
        <w:t>Direction des Finances et du matériel du Ministère des Maliens Établis à l’Extérieur et de l’Intégration Africaine</w:t>
      </w:r>
      <w:r w:rsidRPr="00D95CD8">
        <w:rPr>
          <w:rFonts w:ascii="Times New Roman" w:eastAsia="Times New Roman" w:hAnsi="Times New Roman" w:cs="Times New Roman"/>
          <w:b/>
          <w:snapToGrid w:val="0"/>
          <w:color w:val="FF0000"/>
          <w:sz w:val="24"/>
          <w:szCs w:val="24"/>
          <w:lang w:val="fr-CA"/>
        </w:rPr>
        <w:t>,</w:t>
      </w:r>
      <w:r w:rsidRPr="00D95CD8">
        <w:rPr>
          <w:rFonts w:ascii="Times New Roman" w:eastAsia="Times New Roman" w:hAnsi="Times New Roman" w:cs="Arial"/>
          <w:sz w:val="24"/>
          <w:szCs w:val="24"/>
          <w:lang w:eastAsia="fr-FR"/>
        </w:rPr>
        <w:t xml:space="preserve"> au plus tard le </w:t>
      </w:r>
      <w:r w:rsidRPr="00D95CD8">
        <w:rPr>
          <w:rFonts w:ascii="Times New Roman" w:eastAsia="Times New Roman" w:hAnsi="Times New Roman" w:cs="Arial"/>
          <w:i/>
          <w:iCs/>
          <w:color w:val="FF0000"/>
          <w:sz w:val="24"/>
          <w:szCs w:val="24"/>
          <w:lang w:eastAsia="fr-FR"/>
        </w:rPr>
        <w:t xml:space="preserve">27/08/2021 </w:t>
      </w:r>
      <w:r w:rsidRPr="00D95CD8">
        <w:rPr>
          <w:rFonts w:ascii="Times New Roman" w:eastAsia="Times New Roman" w:hAnsi="Times New Roman" w:cs="Arial"/>
          <w:b/>
          <w:i/>
          <w:iCs/>
          <w:sz w:val="24"/>
          <w:szCs w:val="24"/>
          <w:lang w:eastAsia="fr-FR"/>
        </w:rPr>
        <w:t>A 10 heures précises.</w:t>
      </w:r>
      <w:r w:rsidRPr="00D95CD8">
        <w:rPr>
          <w:rFonts w:ascii="Times New Roman" w:eastAsia="Times New Roman" w:hAnsi="Times New Roman" w:cs="Arial"/>
          <w:sz w:val="24"/>
          <w:szCs w:val="24"/>
          <w:lang w:eastAsia="fr-FR"/>
        </w:rPr>
        <w:t xml:space="preserve"> Les offres remises en retard ne seront pas acceptées. </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b/>
          <w:sz w:val="24"/>
          <w:szCs w:val="24"/>
          <w:lang w:eastAsia="fr-FR"/>
        </w:rPr>
      </w:pPr>
      <w:r w:rsidRPr="00D95CD8">
        <w:rPr>
          <w:rFonts w:ascii="Times New Roman" w:eastAsia="Times New Roman" w:hAnsi="Times New Roman" w:cs="Arial"/>
          <w:sz w:val="24"/>
          <w:szCs w:val="24"/>
          <w:lang w:eastAsia="fr-FR"/>
        </w:rPr>
        <w:t xml:space="preserve">Les offres doivent comprendre </w:t>
      </w:r>
      <w:r w:rsidRPr="00D95CD8">
        <w:rPr>
          <w:rFonts w:ascii="Times New Roman" w:eastAsia="Times New Roman" w:hAnsi="Times New Roman" w:cs="Arial"/>
          <w:iCs/>
          <w:sz w:val="24"/>
          <w:szCs w:val="24"/>
          <w:lang w:eastAsia="fr-FR"/>
        </w:rPr>
        <w:t>des garanties de soumission</w:t>
      </w:r>
      <w:r w:rsidRPr="00D95CD8">
        <w:rPr>
          <w:rFonts w:ascii="Times New Roman" w:eastAsia="Times New Roman" w:hAnsi="Times New Roman" w:cs="Arial"/>
          <w:sz w:val="24"/>
          <w:szCs w:val="24"/>
          <w:lang w:eastAsia="fr-FR"/>
        </w:rPr>
        <w:t xml:space="preserve"> respectives de : </w:t>
      </w:r>
      <w:r w:rsidRPr="00D95CD8">
        <w:rPr>
          <w:rFonts w:ascii="Times New Roman" w:eastAsia="Times New Roman" w:hAnsi="Times New Roman" w:cs="Arial"/>
          <w:b/>
          <w:sz w:val="24"/>
          <w:szCs w:val="24"/>
          <w:lang w:eastAsia="fr-FR"/>
        </w:rPr>
        <w:t>Sept Millions Cinq Cent Mille (7 500 000) Francs CFA pour le lot 1 et Trois Millions (3 000 000) Francs CFA pour le lot 2</w:t>
      </w:r>
      <w:r w:rsidRPr="00D95CD8">
        <w:rPr>
          <w:rFonts w:ascii="Times New Roman" w:eastAsia="Times New Roman" w:hAnsi="Times New Roman" w:cs="Arial"/>
          <w:b/>
          <w:i/>
          <w:iCs/>
          <w:sz w:val="24"/>
          <w:szCs w:val="24"/>
          <w:lang w:eastAsia="fr-FR"/>
        </w:rPr>
        <w:t xml:space="preserve">. </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sz w:val="20"/>
          <w:szCs w:val="24"/>
          <w:lang w:eastAsia="fr-FR"/>
        </w:rPr>
      </w:pPr>
      <w:r w:rsidRPr="00D95CD8">
        <w:rPr>
          <w:rFonts w:ascii="Times New Roman" w:eastAsia="Times New Roman" w:hAnsi="Times New Roman" w:cs="Arial"/>
          <w:sz w:val="24"/>
          <w:szCs w:val="24"/>
          <w:lang w:eastAsia="fr-FR"/>
        </w:rPr>
        <w:t>Les Soumissionnaires resteront engagés par leur offre pendant une période de quatre-vingt-dix (90) jours à compter de la date limite du dépôt des offres comme spécifié au point 19.1 des IC et au DPAO.</w:t>
      </w:r>
    </w:p>
    <w:p w:rsidR="00D95CD8" w:rsidRPr="00D95CD8" w:rsidRDefault="00D95CD8" w:rsidP="00D95CD8">
      <w:pPr>
        <w:numPr>
          <w:ilvl w:val="0"/>
          <w:numId w:val="1"/>
        </w:numPr>
        <w:suppressAutoHyphens/>
        <w:overflowPunct w:val="0"/>
        <w:autoSpaceDE w:val="0"/>
        <w:autoSpaceDN w:val="0"/>
        <w:adjustRightInd w:val="0"/>
        <w:spacing w:after="200" w:line="240" w:lineRule="auto"/>
        <w:jc w:val="both"/>
        <w:rPr>
          <w:rFonts w:ascii="Times New Roman" w:eastAsia="Times New Roman" w:hAnsi="Times New Roman" w:cs="Arial"/>
          <w:b/>
          <w:color w:val="FF0000"/>
          <w:szCs w:val="24"/>
          <w:lang w:eastAsia="fr-FR"/>
        </w:rPr>
      </w:pPr>
      <w:r w:rsidRPr="00D95CD8">
        <w:rPr>
          <w:rFonts w:ascii="Times New Roman" w:eastAsia="Times New Roman" w:hAnsi="Times New Roman" w:cs="Arial"/>
          <w:sz w:val="24"/>
          <w:szCs w:val="24"/>
          <w:lang w:eastAsia="fr-FR"/>
        </w:rPr>
        <w:t xml:space="preserve">Les offres seront ouvertes en présence des représentants des soumissionnaires qui souhaitent assister à l’ouverture des plis le </w:t>
      </w:r>
      <w:r w:rsidRPr="00D95CD8">
        <w:rPr>
          <w:rFonts w:ascii="Times New Roman" w:eastAsia="Times New Roman" w:hAnsi="Times New Roman" w:cs="Arial"/>
          <w:b/>
          <w:i/>
          <w:sz w:val="24"/>
          <w:szCs w:val="24"/>
          <w:lang w:eastAsia="fr-FR"/>
        </w:rPr>
        <w:t xml:space="preserve">27/08/2021 à 10 heures précises </w:t>
      </w:r>
      <w:r w:rsidRPr="00D95CD8">
        <w:rPr>
          <w:rFonts w:ascii="Times New Roman" w:eastAsia="Times New Roman" w:hAnsi="Times New Roman" w:cs="Arial"/>
          <w:sz w:val="24"/>
          <w:szCs w:val="24"/>
          <w:lang w:eastAsia="fr-FR"/>
        </w:rPr>
        <w:t>à l’adresse suivante </w:t>
      </w:r>
      <w:r w:rsidRPr="00D95CD8">
        <w:rPr>
          <w:rFonts w:ascii="Arial" w:eastAsia="Times New Roman" w:hAnsi="Arial" w:cs="Arial"/>
          <w:b/>
          <w:bCs/>
          <w:sz w:val="24"/>
          <w:szCs w:val="24"/>
          <w:lang w:eastAsia="fr-FR"/>
        </w:rPr>
        <w:t xml:space="preserve">Hamdallaye ACI, Cité Administrative ; bâtiment N°6 ; BP: E815, Tél. : 20 01 66 23– Bamako dans le bureau </w:t>
      </w:r>
      <w:r w:rsidRPr="00D95CD8">
        <w:rPr>
          <w:rFonts w:ascii="Times New Roman" w:eastAsia="Times New Roman" w:hAnsi="Times New Roman" w:cs="Arial"/>
          <w:b/>
          <w:color w:val="FF0000"/>
          <w:sz w:val="24"/>
          <w:szCs w:val="24"/>
          <w:lang w:eastAsia="fr-FR"/>
        </w:rPr>
        <w:t xml:space="preserve"> du Directeur Adjoint des Finances et du matériel du Ministère des Maliens Etablis à l’Extérieur et de l’Intégration Africaine.</w:t>
      </w:r>
    </w:p>
    <w:p w:rsidR="00D95CD8" w:rsidRPr="00D95CD8" w:rsidRDefault="00D95CD8" w:rsidP="00D95CD8">
      <w:pPr>
        <w:autoSpaceDN w:val="0"/>
        <w:spacing w:after="200" w:line="240" w:lineRule="auto"/>
        <w:jc w:val="both"/>
        <w:rPr>
          <w:rFonts w:ascii="Times New Roman" w:eastAsia="Times New Roman" w:hAnsi="Times New Roman" w:cs="Arial"/>
          <w:b/>
          <w:color w:val="FF0000"/>
          <w:szCs w:val="24"/>
          <w:lang w:eastAsia="fr-FR"/>
        </w:rPr>
      </w:pPr>
    </w:p>
    <w:p w:rsidR="00D95CD8" w:rsidRPr="00D95CD8" w:rsidRDefault="00D95CD8" w:rsidP="00D95CD8">
      <w:pPr>
        <w:suppressAutoHyphens/>
        <w:overflowPunct w:val="0"/>
        <w:autoSpaceDE w:val="0"/>
        <w:autoSpaceDN w:val="0"/>
        <w:adjustRightInd w:val="0"/>
        <w:spacing w:after="0" w:line="240" w:lineRule="auto"/>
        <w:jc w:val="both"/>
        <w:rPr>
          <w:rFonts w:ascii="Times New Roman" w:eastAsia="Times New Roman" w:hAnsi="Times New Roman" w:cs="Arial"/>
          <w:b/>
          <w:color w:val="FF0000"/>
          <w:szCs w:val="24"/>
          <w:lang w:eastAsia="fr-FR"/>
        </w:rPr>
      </w:pPr>
    </w:p>
    <w:p w:rsidR="00D95CD8" w:rsidRPr="00D95CD8" w:rsidRDefault="00D95CD8" w:rsidP="00D95CD8">
      <w:pPr>
        <w:suppressAutoHyphens/>
        <w:overflowPunct w:val="0"/>
        <w:autoSpaceDE w:val="0"/>
        <w:autoSpaceDN w:val="0"/>
        <w:adjustRightInd w:val="0"/>
        <w:spacing w:after="0" w:line="240" w:lineRule="auto"/>
        <w:jc w:val="both"/>
        <w:rPr>
          <w:rFonts w:ascii="Times New Roman" w:eastAsia="Times New Roman" w:hAnsi="Times New Roman" w:cs="Arial"/>
          <w:b/>
          <w:color w:val="FF0000"/>
          <w:szCs w:val="24"/>
          <w:lang w:eastAsia="fr-FR"/>
        </w:rPr>
      </w:pPr>
    </w:p>
    <w:p w:rsidR="00D95CD8" w:rsidRPr="00D95CD8" w:rsidRDefault="00D95CD8" w:rsidP="00D95CD8">
      <w:pPr>
        <w:spacing w:after="0" w:line="240" w:lineRule="auto"/>
        <w:jc w:val="both"/>
        <w:rPr>
          <w:rFonts w:ascii="Times New Roman" w:eastAsia="Times New Roman" w:hAnsi="Times New Roman" w:cs="Times New Roman"/>
          <w:b/>
          <w:sz w:val="20"/>
          <w:szCs w:val="23"/>
          <w:lang w:eastAsia="fr-FR"/>
        </w:rPr>
      </w:pPr>
      <w:r w:rsidRPr="00D95CD8">
        <w:rPr>
          <w:rFonts w:ascii="Times New Roman" w:eastAsia="Times New Roman" w:hAnsi="Times New Roman" w:cs="Arial"/>
          <w:sz w:val="24"/>
          <w:szCs w:val="24"/>
          <w:lang w:eastAsia="fr-FR"/>
        </w:rPr>
        <w:t xml:space="preserve">                                                                                              </w:t>
      </w:r>
      <w:r w:rsidRPr="00D95CD8">
        <w:rPr>
          <w:rFonts w:ascii="Times New Roman" w:eastAsia="Times New Roman" w:hAnsi="Times New Roman" w:cs="Times New Roman"/>
          <w:b/>
          <w:sz w:val="24"/>
          <w:szCs w:val="23"/>
          <w:lang w:eastAsia="fr-FR"/>
        </w:rPr>
        <w:t xml:space="preserve">Bamako, le </w:t>
      </w:r>
    </w:p>
    <w:p w:rsidR="00D95CD8" w:rsidRPr="00D95CD8" w:rsidRDefault="00D95CD8" w:rsidP="00D95CD8">
      <w:pPr>
        <w:spacing w:after="0" w:line="240" w:lineRule="auto"/>
        <w:ind w:left="-120" w:right="-354" w:hanging="240"/>
        <w:jc w:val="both"/>
        <w:rPr>
          <w:rFonts w:ascii="Times New Roman" w:eastAsia="Times New Roman" w:hAnsi="Times New Roman" w:cs="Times New Roman"/>
          <w:b/>
          <w:sz w:val="24"/>
          <w:szCs w:val="23"/>
          <w:lang w:eastAsia="fr-FR"/>
        </w:rPr>
      </w:pPr>
      <w:r w:rsidRPr="00D95CD8">
        <w:rPr>
          <w:rFonts w:ascii="Times New Roman" w:eastAsia="Times New Roman" w:hAnsi="Times New Roman" w:cs="Times New Roman"/>
          <w:b/>
          <w:sz w:val="24"/>
          <w:szCs w:val="23"/>
          <w:lang w:eastAsia="fr-FR"/>
        </w:rPr>
        <w:t xml:space="preserve">          </w:t>
      </w:r>
    </w:p>
    <w:p w:rsidR="00D95CD8" w:rsidRPr="00D95CD8" w:rsidRDefault="00D95CD8" w:rsidP="00D95CD8">
      <w:pPr>
        <w:spacing w:after="0" w:line="240" w:lineRule="auto"/>
        <w:ind w:left="-120" w:right="-354" w:hanging="240"/>
        <w:jc w:val="both"/>
        <w:rPr>
          <w:rFonts w:ascii="Times New Roman" w:eastAsia="Times New Roman" w:hAnsi="Times New Roman" w:cs="Times New Roman"/>
          <w:b/>
          <w:sz w:val="24"/>
          <w:szCs w:val="20"/>
          <w:lang w:eastAsia="fr-FR"/>
        </w:rPr>
      </w:pPr>
      <w:r w:rsidRPr="00D95CD8">
        <w:rPr>
          <w:rFonts w:ascii="Times New Roman" w:eastAsia="Times New Roman" w:hAnsi="Times New Roman" w:cs="Times New Roman"/>
          <w:b/>
          <w:sz w:val="24"/>
          <w:szCs w:val="23"/>
          <w:lang w:eastAsia="fr-FR"/>
        </w:rPr>
        <w:t xml:space="preserve">                                                                                         </w:t>
      </w:r>
      <w:r w:rsidRPr="00D95CD8">
        <w:rPr>
          <w:rFonts w:ascii="Times New Roman" w:eastAsia="Times New Roman" w:hAnsi="Times New Roman" w:cs="Times New Roman"/>
          <w:b/>
          <w:sz w:val="24"/>
          <w:szCs w:val="20"/>
          <w:lang w:eastAsia="fr-FR"/>
        </w:rPr>
        <w:t xml:space="preserve">LE DIRECTEUR DES FINANCES  </w:t>
      </w:r>
    </w:p>
    <w:p w:rsidR="00D95CD8" w:rsidRPr="00D95CD8" w:rsidRDefault="00D95CD8" w:rsidP="00D95CD8">
      <w:pPr>
        <w:spacing w:after="0" w:line="240" w:lineRule="auto"/>
        <w:ind w:left="-120" w:right="-354" w:hanging="240"/>
        <w:jc w:val="both"/>
        <w:rPr>
          <w:rFonts w:ascii="Times New Roman" w:eastAsia="Times New Roman" w:hAnsi="Times New Roman" w:cs="Times New Roman"/>
          <w:b/>
          <w:sz w:val="24"/>
          <w:szCs w:val="20"/>
          <w:lang w:eastAsia="fr-FR"/>
        </w:rPr>
      </w:pPr>
      <w:r w:rsidRPr="00D95CD8">
        <w:rPr>
          <w:rFonts w:ascii="Times New Roman" w:eastAsia="Times New Roman" w:hAnsi="Times New Roman" w:cs="Times New Roman"/>
          <w:b/>
          <w:sz w:val="24"/>
          <w:szCs w:val="20"/>
          <w:lang w:eastAsia="fr-FR"/>
        </w:rPr>
        <w:t xml:space="preserve">                                                                                                      ET DU MATERIEL </w:t>
      </w:r>
    </w:p>
    <w:p w:rsidR="00D95CD8" w:rsidRPr="00D95CD8" w:rsidRDefault="00D95CD8" w:rsidP="00D95CD8">
      <w:pPr>
        <w:spacing w:after="0" w:line="240" w:lineRule="auto"/>
        <w:ind w:left="-120" w:right="-354" w:hanging="240"/>
        <w:jc w:val="both"/>
        <w:rPr>
          <w:rFonts w:ascii="Times New Roman" w:eastAsia="Times New Roman" w:hAnsi="Times New Roman" w:cs="Times New Roman"/>
          <w:b/>
          <w:sz w:val="24"/>
          <w:szCs w:val="20"/>
          <w:lang w:eastAsia="fr-FR"/>
        </w:rPr>
      </w:pPr>
      <w:r w:rsidRPr="00D95CD8">
        <w:rPr>
          <w:rFonts w:ascii="Times New Roman" w:eastAsia="Times New Roman" w:hAnsi="Times New Roman" w:cs="Times New Roman"/>
          <w:b/>
          <w:sz w:val="24"/>
          <w:szCs w:val="20"/>
          <w:lang w:eastAsia="fr-FR"/>
        </w:rPr>
        <w:t xml:space="preserve">                                                                                                       </w:t>
      </w:r>
      <w:r w:rsidRPr="00D95CD8">
        <w:rPr>
          <w:rFonts w:ascii="Bookman" w:eastAsia="Times New Roman" w:hAnsi="Bookman" w:cs="Times New Roman"/>
          <w:b/>
          <w:sz w:val="24"/>
          <w:szCs w:val="20"/>
          <w:lang w:eastAsia="fr-FR"/>
        </w:rPr>
        <w:tab/>
      </w:r>
    </w:p>
    <w:p w:rsidR="00D95CD8" w:rsidRPr="00D95CD8" w:rsidRDefault="00D95CD8" w:rsidP="00D95CD8">
      <w:pPr>
        <w:spacing w:after="0" w:line="240" w:lineRule="auto"/>
        <w:ind w:right="-354"/>
        <w:jc w:val="both"/>
        <w:rPr>
          <w:rFonts w:ascii="Bookman" w:eastAsia="Times New Roman" w:hAnsi="Bookman" w:cs="Times New Roman"/>
          <w:b/>
          <w:sz w:val="24"/>
          <w:szCs w:val="20"/>
          <w:lang w:eastAsia="fr-FR"/>
        </w:rPr>
      </w:pPr>
      <w:r w:rsidRPr="00D95CD8">
        <w:rPr>
          <w:rFonts w:ascii="Bookman" w:eastAsia="Times New Roman" w:hAnsi="Bookman" w:cs="Times New Roman"/>
          <w:b/>
          <w:sz w:val="24"/>
          <w:szCs w:val="20"/>
          <w:lang w:eastAsia="fr-FR"/>
        </w:rPr>
        <w:t xml:space="preserve">                                                                          </w:t>
      </w:r>
    </w:p>
    <w:p w:rsidR="00D95CD8" w:rsidRPr="00D95CD8" w:rsidRDefault="00D95CD8" w:rsidP="00D95CD8">
      <w:pPr>
        <w:spacing w:after="0" w:line="240" w:lineRule="auto"/>
        <w:ind w:right="-354"/>
        <w:jc w:val="both"/>
        <w:rPr>
          <w:rFonts w:ascii="Bookman" w:eastAsia="Times New Roman" w:hAnsi="Bookman" w:cs="Times New Roman"/>
          <w:b/>
          <w:sz w:val="24"/>
          <w:szCs w:val="20"/>
          <w:lang w:eastAsia="fr-FR"/>
        </w:rPr>
      </w:pPr>
    </w:p>
    <w:p w:rsidR="00D95CD8" w:rsidRPr="00D95CD8" w:rsidRDefault="00D95CD8" w:rsidP="00D95CD8">
      <w:pPr>
        <w:spacing w:after="0" w:line="240" w:lineRule="auto"/>
        <w:ind w:right="-354"/>
        <w:jc w:val="both"/>
        <w:rPr>
          <w:rFonts w:ascii="Bookman" w:eastAsia="Times New Roman" w:hAnsi="Bookman" w:cs="Times New Roman"/>
          <w:b/>
          <w:sz w:val="24"/>
          <w:szCs w:val="20"/>
          <w:lang w:eastAsia="fr-FR"/>
        </w:rPr>
      </w:pPr>
    </w:p>
    <w:p w:rsidR="00D95CD8" w:rsidRPr="00D95CD8" w:rsidRDefault="00D95CD8" w:rsidP="00D95CD8">
      <w:pPr>
        <w:spacing w:after="0" w:line="240" w:lineRule="auto"/>
        <w:ind w:right="-354"/>
        <w:jc w:val="both"/>
        <w:rPr>
          <w:rFonts w:ascii="Times New Roman" w:eastAsia="Times New Roman" w:hAnsi="Times New Roman" w:cs="Times New Roman"/>
          <w:b/>
          <w:sz w:val="24"/>
          <w:szCs w:val="20"/>
          <w:u w:val="single"/>
          <w:lang w:eastAsia="fr-FR"/>
        </w:rPr>
      </w:pPr>
      <w:r w:rsidRPr="00D95CD8">
        <w:rPr>
          <w:rFonts w:ascii="Bookman" w:eastAsia="Times New Roman" w:hAnsi="Bookman" w:cs="Times New Roman"/>
          <w:b/>
          <w:sz w:val="24"/>
          <w:szCs w:val="20"/>
          <w:lang w:eastAsia="fr-FR"/>
        </w:rPr>
        <w:t xml:space="preserve">                                                                </w:t>
      </w:r>
      <w:r w:rsidRPr="00D95CD8">
        <w:rPr>
          <w:rFonts w:ascii="Times New Roman" w:eastAsia="Times New Roman" w:hAnsi="Times New Roman" w:cs="Times New Roman"/>
          <w:b/>
          <w:sz w:val="24"/>
          <w:szCs w:val="20"/>
          <w:u w:val="single"/>
          <w:lang w:eastAsia="fr-FR"/>
        </w:rPr>
        <w:t>Abdoulaye AG MOHAMED</w:t>
      </w:r>
    </w:p>
    <w:p w:rsidR="00D95CD8" w:rsidRPr="00D95CD8" w:rsidRDefault="00D95CD8" w:rsidP="00D95CD8">
      <w:pPr>
        <w:spacing w:after="0" w:line="240" w:lineRule="auto"/>
        <w:jc w:val="both"/>
        <w:rPr>
          <w:rFonts w:ascii="Times New Roman" w:eastAsia="Times New Roman" w:hAnsi="Times New Roman" w:cs="Times New Roman"/>
          <w:sz w:val="18"/>
          <w:szCs w:val="18"/>
          <w:lang w:eastAsia="fr-FR"/>
        </w:rPr>
      </w:pPr>
      <w:r w:rsidRPr="00D95CD8">
        <w:rPr>
          <w:rFonts w:ascii="Times New Roman" w:eastAsia="Times New Roman" w:hAnsi="Times New Roman" w:cs="Times New Roman"/>
          <w:b/>
          <w:sz w:val="24"/>
          <w:szCs w:val="20"/>
          <w:lang w:eastAsia="fr-FR"/>
        </w:rPr>
        <w:t xml:space="preserve">                                                                                           </w:t>
      </w:r>
      <w:r w:rsidRPr="00D95CD8">
        <w:rPr>
          <w:rFonts w:ascii="Times New Roman" w:eastAsia="Times New Roman" w:hAnsi="Times New Roman" w:cs="Times New Roman"/>
          <w:b/>
          <w:sz w:val="18"/>
          <w:szCs w:val="18"/>
          <w:lang w:eastAsia="fr-FR"/>
        </w:rPr>
        <w:t>Chevalier de l’Ordre National</w:t>
      </w:r>
    </w:p>
    <w:p w:rsidR="00D95CD8" w:rsidRPr="00D95CD8" w:rsidRDefault="00D95CD8" w:rsidP="00D95CD8">
      <w:pPr>
        <w:suppressAutoHyphens/>
        <w:overflowPunct w:val="0"/>
        <w:autoSpaceDE w:val="0"/>
        <w:autoSpaceDN w:val="0"/>
        <w:adjustRightInd w:val="0"/>
        <w:spacing w:after="0" w:line="240" w:lineRule="auto"/>
        <w:jc w:val="both"/>
        <w:rPr>
          <w:rFonts w:ascii="Times New Roman" w:eastAsia="Times New Roman" w:hAnsi="Times New Roman" w:cs="Arial"/>
          <w:sz w:val="24"/>
          <w:szCs w:val="24"/>
          <w:lang w:eastAsia="fr-FR"/>
        </w:rPr>
      </w:pPr>
    </w:p>
    <w:p w:rsidR="00D95CD8" w:rsidRPr="00D95CD8" w:rsidRDefault="00D95CD8" w:rsidP="00D95CD8">
      <w:pPr>
        <w:suppressAutoHyphens/>
        <w:overflowPunct w:val="0"/>
        <w:autoSpaceDE w:val="0"/>
        <w:autoSpaceDN w:val="0"/>
        <w:adjustRightInd w:val="0"/>
        <w:spacing w:after="0" w:line="240" w:lineRule="auto"/>
        <w:ind w:left="720"/>
        <w:jc w:val="center"/>
        <w:rPr>
          <w:rFonts w:ascii="Times New Roman" w:eastAsia="Times New Roman" w:hAnsi="Times New Roman" w:cs="Arial"/>
          <w:sz w:val="24"/>
          <w:szCs w:val="24"/>
          <w:lang w:eastAsia="fr-FR"/>
        </w:rPr>
      </w:pPr>
    </w:p>
    <w:p w:rsidR="00D95CD8" w:rsidRPr="00D95CD8" w:rsidRDefault="00D95CD8" w:rsidP="00D95CD8">
      <w:pPr>
        <w:autoSpaceDN w:val="0"/>
        <w:spacing w:after="200" w:line="240" w:lineRule="auto"/>
        <w:jc w:val="both"/>
        <w:rPr>
          <w:rFonts w:ascii="Times New Roman" w:eastAsia="Times New Roman" w:hAnsi="Times New Roman" w:cs="Arial"/>
          <w:b/>
          <w:color w:val="FF0000"/>
          <w:szCs w:val="24"/>
          <w:lang w:eastAsia="fr-FR"/>
        </w:rPr>
      </w:pPr>
    </w:p>
    <w:p w:rsidR="007A32EB" w:rsidRDefault="00D95CD8"/>
    <w:sectPr w:rsidR="007A3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512F0"/>
    <w:multiLevelType w:val="hybridMultilevel"/>
    <w:tmpl w:val="43B629EC"/>
    <w:lvl w:ilvl="0" w:tplc="4FE690D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9008C2"/>
    <w:multiLevelType w:val="hybridMultilevel"/>
    <w:tmpl w:val="64DCCDF6"/>
    <w:lvl w:ilvl="0" w:tplc="E0022A7C">
      <w:start w:val="1"/>
      <w:numFmt w:val="decimal"/>
      <w:lvlText w:val="%1."/>
      <w:lvlJc w:val="left"/>
      <w:pPr>
        <w:ind w:left="780" w:hanging="360"/>
      </w:pPr>
      <w:rPr>
        <w:b/>
        <w:color w:val="auto"/>
      </w:rPr>
    </w:lvl>
    <w:lvl w:ilvl="1" w:tplc="040C0019">
      <w:start w:val="1"/>
      <w:numFmt w:val="lowerLetter"/>
      <w:lvlText w:val="%2."/>
      <w:lvlJc w:val="left"/>
      <w:pPr>
        <w:ind w:left="1500" w:hanging="360"/>
      </w:pPr>
    </w:lvl>
    <w:lvl w:ilvl="2" w:tplc="040C001B">
      <w:start w:val="1"/>
      <w:numFmt w:val="lowerRoman"/>
      <w:lvlText w:val="%3."/>
      <w:lvlJc w:val="right"/>
      <w:pPr>
        <w:ind w:left="2220" w:hanging="180"/>
      </w:pPr>
    </w:lvl>
    <w:lvl w:ilvl="3" w:tplc="040C000F">
      <w:start w:val="1"/>
      <w:numFmt w:val="decimal"/>
      <w:lvlText w:val="%4."/>
      <w:lvlJc w:val="left"/>
      <w:pPr>
        <w:ind w:left="2940" w:hanging="360"/>
      </w:pPr>
    </w:lvl>
    <w:lvl w:ilvl="4" w:tplc="040C0019">
      <w:start w:val="1"/>
      <w:numFmt w:val="lowerLetter"/>
      <w:lvlText w:val="%5."/>
      <w:lvlJc w:val="left"/>
      <w:pPr>
        <w:ind w:left="3660" w:hanging="360"/>
      </w:pPr>
    </w:lvl>
    <w:lvl w:ilvl="5" w:tplc="040C001B">
      <w:start w:val="1"/>
      <w:numFmt w:val="lowerRoman"/>
      <w:lvlText w:val="%6."/>
      <w:lvlJc w:val="right"/>
      <w:pPr>
        <w:ind w:left="4380" w:hanging="180"/>
      </w:pPr>
    </w:lvl>
    <w:lvl w:ilvl="6" w:tplc="040C000F">
      <w:start w:val="1"/>
      <w:numFmt w:val="decimal"/>
      <w:lvlText w:val="%7."/>
      <w:lvlJc w:val="left"/>
      <w:pPr>
        <w:ind w:left="5100" w:hanging="360"/>
      </w:pPr>
    </w:lvl>
    <w:lvl w:ilvl="7" w:tplc="040C0019">
      <w:start w:val="1"/>
      <w:numFmt w:val="lowerLetter"/>
      <w:lvlText w:val="%8."/>
      <w:lvlJc w:val="left"/>
      <w:pPr>
        <w:ind w:left="5820" w:hanging="360"/>
      </w:pPr>
    </w:lvl>
    <w:lvl w:ilvl="8" w:tplc="040C001B">
      <w:start w:val="1"/>
      <w:numFmt w:val="lowerRoman"/>
      <w:lvlText w:val="%9."/>
      <w:lvlJc w:val="right"/>
      <w:pPr>
        <w:ind w:left="6540" w:hanging="180"/>
      </w:pPr>
    </w:lvl>
  </w:abstractNum>
  <w:abstractNum w:abstractNumId="2" w15:restartNumberingAfterBreak="0">
    <w:nsid w:val="5A401990"/>
    <w:multiLevelType w:val="hybridMultilevel"/>
    <w:tmpl w:val="A15A852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93709AA"/>
    <w:multiLevelType w:val="hybridMultilevel"/>
    <w:tmpl w:val="F704F144"/>
    <w:lvl w:ilvl="0" w:tplc="DD48CBB6">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E100C56"/>
    <w:multiLevelType w:val="hybridMultilevel"/>
    <w:tmpl w:val="C08EB212"/>
    <w:lvl w:ilvl="0" w:tplc="DD48CBB6">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tplc="28D82C14">
      <w:start w:val="1"/>
      <w:numFmt w:val="lowerLetter"/>
      <w:lvlText w:val="%2."/>
      <w:lvlJc w:val="left"/>
      <w:pPr>
        <w:tabs>
          <w:tab w:val="num" w:pos="1440"/>
        </w:tabs>
        <w:ind w:left="1440" w:hanging="360"/>
      </w:pPr>
      <w:rPr>
        <w:rFonts w:cs="Times New Roman"/>
      </w:rPr>
    </w:lvl>
    <w:lvl w:ilvl="2" w:tplc="81D2E79E">
      <w:start w:val="1"/>
      <w:numFmt w:val="lowerRoman"/>
      <w:lvlText w:val="%3."/>
      <w:lvlJc w:val="right"/>
      <w:pPr>
        <w:tabs>
          <w:tab w:val="num" w:pos="2160"/>
        </w:tabs>
        <w:ind w:left="2160" w:hanging="180"/>
      </w:pPr>
      <w:rPr>
        <w:rFonts w:cs="Times New Roman"/>
      </w:rPr>
    </w:lvl>
    <w:lvl w:ilvl="3" w:tplc="3716D430">
      <w:start w:val="1"/>
      <w:numFmt w:val="decimal"/>
      <w:lvlText w:val="%4."/>
      <w:lvlJc w:val="left"/>
      <w:pPr>
        <w:tabs>
          <w:tab w:val="num" w:pos="2880"/>
        </w:tabs>
        <w:ind w:left="2880" w:hanging="360"/>
      </w:pPr>
      <w:rPr>
        <w:rFonts w:cs="Times New Roman"/>
      </w:rPr>
    </w:lvl>
    <w:lvl w:ilvl="4" w:tplc="E886FE98">
      <w:start w:val="1"/>
      <w:numFmt w:val="lowerLetter"/>
      <w:lvlText w:val="%5."/>
      <w:lvlJc w:val="left"/>
      <w:pPr>
        <w:tabs>
          <w:tab w:val="num" w:pos="3600"/>
        </w:tabs>
        <w:ind w:left="3600" w:hanging="360"/>
      </w:pPr>
      <w:rPr>
        <w:rFonts w:cs="Times New Roman"/>
      </w:rPr>
    </w:lvl>
    <w:lvl w:ilvl="5" w:tplc="AA120FA0">
      <w:start w:val="1"/>
      <w:numFmt w:val="lowerRoman"/>
      <w:lvlText w:val="%6."/>
      <w:lvlJc w:val="right"/>
      <w:pPr>
        <w:tabs>
          <w:tab w:val="num" w:pos="4320"/>
        </w:tabs>
        <w:ind w:left="4320" w:hanging="180"/>
      </w:pPr>
      <w:rPr>
        <w:rFonts w:cs="Times New Roman"/>
      </w:rPr>
    </w:lvl>
    <w:lvl w:ilvl="6" w:tplc="BA50420E">
      <w:start w:val="1"/>
      <w:numFmt w:val="decimal"/>
      <w:lvlText w:val="%7."/>
      <w:lvlJc w:val="left"/>
      <w:pPr>
        <w:tabs>
          <w:tab w:val="num" w:pos="5040"/>
        </w:tabs>
        <w:ind w:left="5040" w:hanging="360"/>
      </w:pPr>
      <w:rPr>
        <w:rFonts w:cs="Times New Roman"/>
      </w:rPr>
    </w:lvl>
    <w:lvl w:ilvl="7" w:tplc="8B548DE2">
      <w:start w:val="1"/>
      <w:numFmt w:val="lowerLetter"/>
      <w:lvlText w:val="%8."/>
      <w:lvlJc w:val="left"/>
      <w:pPr>
        <w:tabs>
          <w:tab w:val="num" w:pos="5760"/>
        </w:tabs>
        <w:ind w:left="5760" w:hanging="360"/>
      </w:pPr>
      <w:rPr>
        <w:rFonts w:cs="Times New Roman"/>
      </w:rPr>
    </w:lvl>
    <w:lvl w:ilvl="8" w:tplc="97AC3AF4">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D8"/>
    <w:rsid w:val="00084EDE"/>
    <w:rsid w:val="00581C62"/>
    <w:rsid w:val="00D95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9F50A-D7E7-404A-978A-C0CEBC75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854</Words>
  <Characters>4701</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APPRO 2</dc:creator>
  <cp:keywords/>
  <dc:description/>
  <cp:lastModifiedBy>APPRO 2</cp:lastModifiedBy>
  <cp:revision>1</cp:revision>
  <dcterms:created xsi:type="dcterms:W3CDTF">2021-08-23T12:24:00Z</dcterms:created>
  <dcterms:modified xsi:type="dcterms:W3CDTF">2021-08-23T12:30:00Z</dcterms:modified>
</cp:coreProperties>
</file>