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14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071"/>
      </w:tblGrid>
      <w:tr w:rsidR="00731A1A" w:rsidTr="00045B84">
        <w:trPr>
          <w:trHeight w:val="2127"/>
        </w:trPr>
        <w:tc>
          <w:tcPr>
            <w:tcW w:w="5071" w:type="dxa"/>
          </w:tcPr>
          <w:p w:rsidR="00731A1A" w:rsidRDefault="00731A1A" w:rsidP="00045B84">
            <w:pPr>
              <w:rPr>
                <w:sz w:val="24"/>
                <w:szCs w:val="24"/>
              </w:rPr>
            </w:pPr>
            <w:r>
              <w:rPr>
                <w:noProof/>
                <w:lang w:eastAsia="fr-FR"/>
              </w:rPr>
              <w:drawing>
                <wp:anchor distT="0" distB="0" distL="114300" distR="114300" simplePos="0" relativeHeight="251661312" behindDoc="0" locked="0" layoutInCell="1" allowOverlap="1" wp14:anchorId="29D2E7C4" wp14:editId="1B1202B4">
                  <wp:simplePos x="0" y="0"/>
                  <wp:positionH relativeFrom="column">
                    <wp:posOffset>41910</wp:posOffset>
                  </wp:positionH>
                  <wp:positionV relativeFrom="paragraph">
                    <wp:posOffset>635</wp:posOffset>
                  </wp:positionV>
                  <wp:extent cx="1162050" cy="1059815"/>
                  <wp:effectExtent l="19050" t="0" r="0" b="0"/>
                  <wp:wrapSquare wrapText="bothSides"/>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srcRect/>
                          <a:stretch>
                            <a:fillRect/>
                          </a:stretch>
                        </pic:blipFill>
                        <pic:spPr bwMode="auto">
                          <a:xfrm>
                            <a:off x="0" y="0"/>
                            <a:ext cx="1162050" cy="105981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9264" behindDoc="0" locked="0" layoutInCell="1" allowOverlap="1" wp14:anchorId="1CFE6538" wp14:editId="667DE72A">
                  <wp:simplePos x="0" y="0"/>
                  <wp:positionH relativeFrom="margin">
                    <wp:posOffset>1775460</wp:posOffset>
                  </wp:positionH>
                  <wp:positionV relativeFrom="paragraph">
                    <wp:posOffset>635</wp:posOffset>
                  </wp:positionV>
                  <wp:extent cx="1314450" cy="1000125"/>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1000125"/>
                          </a:xfrm>
                          <a:prstGeom prst="rect">
                            <a:avLst/>
                          </a:prstGeom>
                          <a:noFill/>
                          <a:ln>
                            <a:noFill/>
                          </a:ln>
                        </pic:spPr>
                      </pic:pic>
                    </a:graphicData>
                  </a:graphic>
                </wp:anchor>
              </w:drawing>
            </w:r>
          </w:p>
          <w:p w:rsidR="00731A1A" w:rsidRDefault="00731A1A" w:rsidP="00045B84">
            <w:pPr>
              <w:rPr>
                <w:sz w:val="24"/>
                <w:szCs w:val="24"/>
              </w:rPr>
            </w:pPr>
          </w:p>
          <w:p w:rsidR="00731A1A" w:rsidRDefault="00731A1A" w:rsidP="00045B84">
            <w:pPr>
              <w:rPr>
                <w:sz w:val="24"/>
                <w:szCs w:val="24"/>
              </w:rPr>
            </w:pPr>
          </w:p>
          <w:p w:rsidR="00731A1A" w:rsidRDefault="00731A1A" w:rsidP="00045B84">
            <w:pPr>
              <w:rPr>
                <w:sz w:val="24"/>
                <w:szCs w:val="24"/>
              </w:rPr>
            </w:pPr>
          </w:p>
          <w:p w:rsidR="00731A1A" w:rsidRDefault="00731A1A" w:rsidP="00045B84">
            <w:pPr>
              <w:rPr>
                <w:sz w:val="24"/>
                <w:szCs w:val="24"/>
              </w:rPr>
            </w:pPr>
          </w:p>
          <w:p w:rsidR="00731A1A" w:rsidRDefault="00731A1A" w:rsidP="00045B84">
            <w:pPr>
              <w:rPr>
                <w:sz w:val="24"/>
                <w:szCs w:val="24"/>
              </w:rPr>
            </w:pPr>
          </w:p>
          <w:p w:rsidR="00731A1A" w:rsidRDefault="00731A1A" w:rsidP="00045B84">
            <w:pPr>
              <w:rPr>
                <w:sz w:val="24"/>
                <w:szCs w:val="24"/>
              </w:rPr>
            </w:pPr>
          </w:p>
        </w:tc>
        <w:tc>
          <w:tcPr>
            <w:tcW w:w="5071" w:type="dxa"/>
          </w:tcPr>
          <w:p w:rsidR="00731A1A" w:rsidRDefault="00731A1A" w:rsidP="00045B84">
            <w:pPr>
              <w:jc w:val="center"/>
              <w:rPr>
                <w:sz w:val="24"/>
                <w:szCs w:val="24"/>
              </w:rPr>
            </w:pPr>
            <w:r w:rsidRPr="00E15032">
              <w:rPr>
                <w:b/>
                <w:noProof/>
                <w:sz w:val="24"/>
                <w:szCs w:val="24"/>
                <w:lang w:eastAsia="fr-FR"/>
              </w:rPr>
              <w:drawing>
                <wp:inline distT="0" distB="0" distL="0" distR="0" wp14:anchorId="071A1D96" wp14:editId="0FEDC97A">
                  <wp:extent cx="2008255" cy="795655"/>
                  <wp:effectExtent l="0" t="0" r="0" b="4445"/>
                  <wp:docPr id="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1123" cy="804715"/>
                          </a:xfrm>
                          <a:prstGeom prst="rect">
                            <a:avLst/>
                          </a:prstGeom>
                          <a:noFill/>
                          <a:ln>
                            <a:noFill/>
                          </a:ln>
                        </pic:spPr>
                      </pic:pic>
                    </a:graphicData>
                  </a:graphic>
                </wp:inline>
              </w:drawing>
            </w:r>
          </w:p>
        </w:tc>
      </w:tr>
    </w:tbl>
    <w:p w:rsidR="00731A1A" w:rsidRDefault="00731A1A" w:rsidP="00731A1A">
      <w:pPr>
        <w:spacing w:after="0"/>
        <w:rPr>
          <w:rFonts w:ascii="Times New Roman" w:hAnsi="Times New Roman"/>
          <w:sz w:val="24"/>
          <w:szCs w:val="24"/>
        </w:rPr>
      </w:pPr>
    </w:p>
    <w:p w:rsidR="00731A1A" w:rsidRDefault="00731A1A" w:rsidP="00731A1A">
      <w:pPr>
        <w:spacing w:after="0"/>
        <w:rPr>
          <w:rFonts w:ascii="Times New Roman" w:hAnsi="Times New Roman"/>
          <w:sz w:val="24"/>
          <w:szCs w:val="24"/>
        </w:rPr>
      </w:pPr>
      <w:r w:rsidRPr="006D37D4">
        <w:rPr>
          <w:noProof/>
          <w:lang w:eastAsia="fr-FR"/>
        </w:rPr>
        <w:drawing>
          <wp:anchor distT="0" distB="0" distL="114300" distR="114300" simplePos="0" relativeHeight="251660288" behindDoc="1" locked="0" layoutInCell="1" allowOverlap="1" wp14:anchorId="305719D3" wp14:editId="18867897">
            <wp:simplePos x="0" y="0"/>
            <wp:positionH relativeFrom="margin">
              <wp:posOffset>2261235</wp:posOffset>
            </wp:positionH>
            <wp:positionV relativeFrom="paragraph">
              <wp:posOffset>102235</wp:posOffset>
            </wp:positionV>
            <wp:extent cx="2266950" cy="962025"/>
            <wp:effectExtent l="1905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6950" cy="962025"/>
                    </a:xfrm>
                    <a:prstGeom prst="rect">
                      <a:avLst/>
                    </a:prstGeom>
                  </pic:spPr>
                </pic:pic>
              </a:graphicData>
            </a:graphic>
          </wp:anchor>
        </w:drawing>
      </w:r>
    </w:p>
    <w:p w:rsidR="00731A1A" w:rsidRDefault="00731A1A" w:rsidP="00731A1A">
      <w:pPr>
        <w:spacing w:after="0"/>
        <w:rPr>
          <w:rFonts w:ascii="Times New Roman" w:hAnsi="Times New Roman"/>
          <w:sz w:val="24"/>
          <w:szCs w:val="24"/>
        </w:rPr>
      </w:pPr>
    </w:p>
    <w:p w:rsidR="00731A1A" w:rsidRDefault="00731A1A" w:rsidP="00731A1A">
      <w:pPr>
        <w:spacing w:after="0"/>
        <w:rPr>
          <w:rFonts w:ascii="Times New Roman" w:hAnsi="Times New Roman"/>
          <w:sz w:val="24"/>
          <w:szCs w:val="24"/>
        </w:rPr>
      </w:pPr>
    </w:p>
    <w:p w:rsidR="00731A1A" w:rsidRDefault="00731A1A" w:rsidP="00731A1A">
      <w:pPr>
        <w:spacing w:after="0" w:line="240" w:lineRule="auto"/>
        <w:jc w:val="center"/>
        <w:outlineLvl w:val="0"/>
        <w:rPr>
          <w:rFonts w:ascii="Arial" w:hAnsi="Arial" w:cs="Arial"/>
          <w:b/>
          <w:color w:val="00B0F0"/>
          <w:sz w:val="40"/>
          <w:szCs w:val="40"/>
        </w:rPr>
      </w:pPr>
    </w:p>
    <w:p w:rsidR="00731A1A" w:rsidRDefault="00731A1A" w:rsidP="00731A1A">
      <w:pPr>
        <w:spacing w:after="0" w:line="240" w:lineRule="auto"/>
        <w:jc w:val="center"/>
        <w:outlineLvl w:val="0"/>
        <w:rPr>
          <w:rFonts w:ascii="Arial" w:hAnsi="Arial" w:cs="Arial"/>
          <w:b/>
          <w:color w:val="00B0F0"/>
          <w:sz w:val="40"/>
          <w:szCs w:val="40"/>
        </w:rPr>
      </w:pPr>
    </w:p>
    <w:p w:rsidR="00731A1A" w:rsidRDefault="00731A1A" w:rsidP="0096413A">
      <w:pPr>
        <w:spacing w:after="0" w:line="240" w:lineRule="auto"/>
        <w:jc w:val="center"/>
        <w:outlineLvl w:val="0"/>
        <w:rPr>
          <w:rFonts w:ascii="Arial" w:hAnsi="Arial" w:cs="Arial"/>
          <w:b/>
          <w:color w:val="00B0F0"/>
          <w:sz w:val="40"/>
          <w:szCs w:val="40"/>
        </w:rPr>
      </w:pPr>
    </w:p>
    <w:p w:rsidR="0096413A" w:rsidRPr="00EF7B8D" w:rsidRDefault="0096413A" w:rsidP="0096413A">
      <w:pPr>
        <w:spacing w:after="0" w:line="240" w:lineRule="auto"/>
        <w:jc w:val="center"/>
        <w:outlineLvl w:val="0"/>
        <w:rPr>
          <w:rFonts w:ascii="Arial" w:hAnsi="Arial" w:cs="Arial"/>
          <w:b/>
          <w:color w:val="00B0F0"/>
          <w:sz w:val="40"/>
          <w:szCs w:val="40"/>
        </w:rPr>
      </w:pPr>
      <w:r w:rsidRPr="00EF7B8D">
        <w:rPr>
          <w:rFonts w:ascii="Arial" w:hAnsi="Arial" w:cs="Arial"/>
          <w:b/>
          <w:color w:val="00B0F0"/>
          <w:sz w:val="40"/>
          <w:szCs w:val="40"/>
        </w:rPr>
        <w:t xml:space="preserve">PROJET D’APPUI REGIONAL A L’INITIATIVE </w:t>
      </w:r>
    </w:p>
    <w:p w:rsidR="0096413A" w:rsidRPr="00EF7B8D" w:rsidRDefault="0096413A" w:rsidP="0096413A">
      <w:pPr>
        <w:spacing w:after="0" w:line="240" w:lineRule="auto"/>
        <w:jc w:val="center"/>
        <w:rPr>
          <w:rFonts w:ascii="Arial" w:hAnsi="Arial" w:cs="Arial"/>
          <w:b/>
          <w:color w:val="00B0F0"/>
          <w:sz w:val="40"/>
          <w:szCs w:val="40"/>
        </w:rPr>
      </w:pPr>
      <w:r w:rsidRPr="00EF7B8D">
        <w:rPr>
          <w:rFonts w:ascii="Arial" w:hAnsi="Arial" w:cs="Arial"/>
          <w:b/>
          <w:color w:val="00B0F0"/>
          <w:sz w:val="40"/>
          <w:szCs w:val="40"/>
        </w:rPr>
        <w:t>POUR L’IRRIGATION AU SAHEL (PARIIS)</w:t>
      </w:r>
      <w:r w:rsidR="0017409D">
        <w:rPr>
          <w:rFonts w:ascii="Arial" w:hAnsi="Arial" w:cs="Arial"/>
          <w:b/>
          <w:color w:val="00B0F0"/>
          <w:sz w:val="40"/>
          <w:szCs w:val="40"/>
        </w:rPr>
        <w:t>-MALI (PARIIS-P154482)</w:t>
      </w:r>
    </w:p>
    <w:p w:rsidR="0096413A" w:rsidRPr="00C93D65" w:rsidRDefault="0096413A" w:rsidP="0096413A">
      <w:pPr>
        <w:spacing w:after="0" w:line="240" w:lineRule="auto"/>
        <w:jc w:val="center"/>
        <w:rPr>
          <w:rFonts w:ascii="Arial" w:hAnsi="Arial" w:cs="Arial"/>
          <w:color w:val="00B0F0"/>
          <w:sz w:val="28"/>
          <w:szCs w:val="28"/>
        </w:rPr>
      </w:pPr>
      <w:r>
        <w:rPr>
          <w:rFonts w:ascii="Arial" w:hAnsi="Arial" w:cs="Arial"/>
          <w:color w:val="00B0F0"/>
          <w:sz w:val="28"/>
          <w:szCs w:val="28"/>
        </w:rPr>
        <w:t>.------------------------</w:t>
      </w:r>
    </w:p>
    <w:p w:rsidR="0096413A" w:rsidRDefault="0096413A" w:rsidP="0096413A">
      <w:pPr>
        <w:spacing w:after="0" w:line="240" w:lineRule="auto"/>
        <w:jc w:val="center"/>
        <w:rPr>
          <w:rFonts w:ascii="Arial" w:hAnsi="Arial" w:cs="Arial"/>
          <w:sz w:val="26"/>
          <w:szCs w:val="26"/>
        </w:rPr>
      </w:pPr>
    </w:p>
    <w:p w:rsidR="0017409D" w:rsidRPr="00050BE6" w:rsidRDefault="0017409D" w:rsidP="0017409D">
      <w:pPr>
        <w:rPr>
          <w:rFonts w:ascii="Times New Roman" w:hAnsi="Times New Roman"/>
          <w:sz w:val="24"/>
          <w:szCs w:val="24"/>
        </w:rPr>
      </w:pPr>
      <w:r>
        <w:rPr>
          <w:rFonts w:ascii="Times New Roman" w:hAnsi="Times New Roman"/>
          <w:noProof/>
          <w:sz w:val="24"/>
          <w:szCs w:val="24"/>
          <w:lang w:eastAsia="fr-FR"/>
        </w:rPr>
        <mc:AlternateContent>
          <mc:Choice Requires="wps">
            <w:drawing>
              <wp:anchor distT="0" distB="0" distL="114300" distR="114300" simplePos="0" relativeHeight="251663360" behindDoc="0" locked="0" layoutInCell="1" allowOverlap="1" wp14:anchorId="79CCF086" wp14:editId="4634434F">
                <wp:simplePos x="0" y="0"/>
                <wp:positionH relativeFrom="column">
                  <wp:posOffset>-139700</wp:posOffset>
                </wp:positionH>
                <wp:positionV relativeFrom="paragraph">
                  <wp:posOffset>150495</wp:posOffset>
                </wp:positionV>
                <wp:extent cx="6306185" cy="1343660"/>
                <wp:effectExtent l="0" t="0" r="18415" b="2857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1343660"/>
                        </a:xfrm>
                        <a:prstGeom prst="rect">
                          <a:avLst/>
                        </a:prstGeom>
                        <a:solidFill>
                          <a:srgbClr val="FFFFFF"/>
                        </a:solidFill>
                        <a:ln w="9525">
                          <a:solidFill>
                            <a:srgbClr val="000000"/>
                          </a:solidFill>
                          <a:miter lim="800000"/>
                          <a:headEnd/>
                          <a:tailEnd/>
                        </a:ln>
                      </wps:spPr>
                      <wps:txbx>
                        <w:txbxContent>
                          <w:p w:rsidR="0017409D" w:rsidRPr="00EB60ED" w:rsidRDefault="0017409D" w:rsidP="0017409D">
                            <w:pPr>
                              <w:shd w:val="clear" w:color="auto" w:fill="D6E3BC"/>
                              <w:spacing w:after="0"/>
                              <w:jc w:val="center"/>
                              <w:rPr>
                                <w:rFonts w:ascii="Times New Roman" w:hAnsi="Times New Roman"/>
                                <w:b/>
                                <w:sz w:val="18"/>
                                <w:szCs w:val="18"/>
                              </w:rPr>
                            </w:pPr>
                          </w:p>
                          <w:p w:rsidR="0017409D" w:rsidRDefault="0017409D" w:rsidP="0017409D">
                            <w:pPr>
                              <w:shd w:val="clear" w:color="auto" w:fill="D6E3BC"/>
                              <w:spacing w:after="0"/>
                              <w:jc w:val="center"/>
                              <w:rPr>
                                <w:rFonts w:ascii="Times New Roman" w:hAnsi="Times New Roman"/>
                                <w:b/>
                                <w:sz w:val="28"/>
                                <w:szCs w:val="28"/>
                              </w:rPr>
                            </w:pPr>
                            <w:r w:rsidRPr="00DD0AC6">
                              <w:rPr>
                                <w:rFonts w:ascii="Times New Roman" w:hAnsi="Times New Roman"/>
                                <w:b/>
                                <w:sz w:val="28"/>
                                <w:szCs w:val="28"/>
                              </w:rPr>
                              <w:t>TERMES DE REFERENCE</w:t>
                            </w:r>
                            <w:r>
                              <w:rPr>
                                <w:rFonts w:ascii="Times New Roman" w:hAnsi="Times New Roman"/>
                                <w:b/>
                                <w:sz w:val="28"/>
                                <w:szCs w:val="28"/>
                              </w:rPr>
                              <w:t xml:space="preserve"> RELATIFS </w:t>
                            </w:r>
                            <w:r w:rsidR="009D2B4B">
                              <w:rPr>
                                <w:rFonts w:ascii="Times New Roman" w:hAnsi="Times New Roman"/>
                                <w:b/>
                                <w:sz w:val="28"/>
                                <w:szCs w:val="28"/>
                              </w:rPr>
                              <w:t>AU</w:t>
                            </w:r>
                            <w:r w:rsidR="006D33B1">
                              <w:rPr>
                                <w:rFonts w:ascii="Times New Roman" w:hAnsi="Times New Roman"/>
                                <w:b/>
                                <w:sz w:val="28"/>
                                <w:szCs w:val="28"/>
                              </w:rPr>
                              <w:t xml:space="preserve"> RE</w:t>
                            </w:r>
                            <w:r w:rsidRPr="00DD0AC6">
                              <w:rPr>
                                <w:rFonts w:ascii="Times New Roman" w:hAnsi="Times New Roman"/>
                                <w:b/>
                                <w:sz w:val="28"/>
                                <w:szCs w:val="28"/>
                              </w:rPr>
                              <w:t xml:space="preserve">CRUTEMENT D’UN </w:t>
                            </w:r>
                            <w:r>
                              <w:rPr>
                                <w:rFonts w:ascii="Times New Roman" w:hAnsi="Times New Roman"/>
                                <w:b/>
                                <w:sz w:val="28"/>
                                <w:szCs w:val="28"/>
                              </w:rPr>
                              <w:t>AUDITEUR EXTERNE</w:t>
                            </w:r>
                            <w:r w:rsidRPr="00DD0AC6">
                              <w:rPr>
                                <w:rFonts w:ascii="Times New Roman" w:hAnsi="Times New Roman"/>
                                <w:b/>
                                <w:sz w:val="28"/>
                                <w:szCs w:val="28"/>
                              </w:rPr>
                              <w:t xml:space="preserve"> </w:t>
                            </w:r>
                            <w:r>
                              <w:rPr>
                                <w:rFonts w:ascii="Times New Roman" w:hAnsi="Times New Roman"/>
                                <w:b/>
                                <w:sz w:val="28"/>
                                <w:szCs w:val="28"/>
                              </w:rPr>
                              <w:t xml:space="preserve">POUR L’AUDIT DES COMPTES </w:t>
                            </w:r>
                            <w:r w:rsidRPr="00DD0AC6">
                              <w:rPr>
                                <w:rFonts w:ascii="Times New Roman" w:hAnsi="Times New Roman"/>
                                <w:b/>
                                <w:sz w:val="28"/>
                                <w:szCs w:val="28"/>
                              </w:rPr>
                              <w:t xml:space="preserve">DU PROJET D’APPUI REGIONAL </w:t>
                            </w:r>
                            <w:r>
                              <w:rPr>
                                <w:rFonts w:ascii="Times New Roman" w:hAnsi="Times New Roman"/>
                                <w:b/>
                                <w:sz w:val="28"/>
                                <w:szCs w:val="28"/>
                              </w:rPr>
                              <w:t>A L’INITIATIVE POUR L’IRRIGATION AU SAHEL (PARII</w:t>
                            </w:r>
                            <w:r w:rsidRPr="00DD0AC6">
                              <w:rPr>
                                <w:rFonts w:ascii="Times New Roman" w:hAnsi="Times New Roman"/>
                                <w:b/>
                                <w:sz w:val="28"/>
                                <w:szCs w:val="28"/>
                              </w:rPr>
                              <w:t>S)- MALI</w:t>
                            </w:r>
                          </w:p>
                          <w:p w:rsidR="0017409D" w:rsidRPr="00EB60ED" w:rsidRDefault="0017409D" w:rsidP="0017409D">
                            <w:pPr>
                              <w:shd w:val="clear" w:color="auto" w:fill="D6E3BC"/>
                              <w:spacing w:after="0"/>
                              <w:jc w:val="center"/>
                              <w:rPr>
                                <w:rFonts w:ascii="Times New Roman" w:hAnsi="Times New Roman"/>
                                <w:b/>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9CCF086" id="_x0000_t202" coordsize="21600,21600" o:spt="202" path="m,l,21600r21600,l21600,xe">
                <v:stroke joinstyle="miter"/>
                <v:path gradientshapeok="t" o:connecttype="rect"/>
              </v:shapetype>
              <v:shape id="Zone de texte 11" o:spid="_x0000_s1026" type="#_x0000_t202" style="position:absolute;margin-left:-11pt;margin-top:11.85pt;width:496.55pt;height:105.8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">
                <v:textbox style="mso-fit-shape-to-text:t">
                  <w:txbxContent>
                    <w:p w:rsidR="0017409D" w:rsidRPr="00EB60ED" w:rsidRDefault="0017409D" w:rsidP="0017409D">
                      <w:pPr>
                        <w:shd w:val="clear" w:color="auto" w:fill="D6E3BC"/>
                        <w:spacing w:after="0"/>
                        <w:jc w:val="center"/>
                        <w:rPr>
                          <w:rFonts w:ascii="Times New Roman" w:hAnsi="Times New Roman"/>
                          <w:b/>
                          <w:sz w:val="18"/>
                          <w:szCs w:val="18"/>
                        </w:rPr>
                      </w:pPr>
                    </w:p>
                    <w:p w:rsidR="0017409D" w:rsidRDefault="0017409D" w:rsidP="0017409D">
                      <w:pPr>
                        <w:shd w:val="clear" w:color="auto" w:fill="D6E3BC"/>
                        <w:spacing w:after="0"/>
                        <w:jc w:val="center"/>
                        <w:rPr>
                          <w:rFonts w:ascii="Times New Roman" w:hAnsi="Times New Roman"/>
                          <w:b/>
                          <w:sz w:val="28"/>
                          <w:szCs w:val="28"/>
                        </w:rPr>
                      </w:pPr>
                      <w:r w:rsidRPr="00DD0AC6">
                        <w:rPr>
                          <w:rFonts w:ascii="Times New Roman" w:hAnsi="Times New Roman"/>
                          <w:b/>
                          <w:sz w:val="28"/>
                          <w:szCs w:val="28"/>
                        </w:rPr>
                        <w:t>TERMES DE REFERENCE</w:t>
                      </w:r>
                      <w:r>
                        <w:rPr>
                          <w:rFonts w:ascii="Times New Roman" w:hAnsi="Times New Roman"/>
                          <w:b/>
                          <w:sz w:val="28"/>
                          <w:szCs w:val="28"/>
                        </w:rPr>
                        <w:t xml:space="preserve"> RELATIFS </w:t>
                      </w:r>
                      <w:r w:rsidR="009D2B4B">
                        <w:rPr>
                          <w:rFonts w:ascii="Times New Roman" w:hAnsi="Times New Roman"/>
                          <w:b/>
                          <w:sz w:val="28"/>
                          <w:szCs w:val="28"/>
                        </w:rPr>
                        <w:t>AU</w:t>
                      </w:r>
                      <w:r w:rsidR="006D33B1">
                        <w:rPr>
                          <w:rFonts w:ascii="Times New Roman" w:hAnsi="Times New Roman"/>
                          <w:b/>
                          <w:sz w:val="28"/>
                          <w:szCs w:val="28"/>
                        </w:rPr>
                        <w:t xml:space="preserve"> RE</w:t>
                      </w:r>
                      <w:r w:rsidRPr="00DD0AC6">
                        <w:rPr>
                          <w:rFonts w:ascii="Times New Roman" w:hAnsi="Times New Roman"/>
                          <w:b/>
                          <w:sz w:val="28"/>
                          <w:szCs w:val="28"/>
                        </w:rPr>
                        <w:t xml:space="preserve">CRUTEMENT D’UN </w:t>
                      </w:r>
                      <w:r>
                        <w:rPr>
                          <w:rFonts w:ascii="Times New Roman" w:hAnsi="Times New Roman"/>
                          <w:b/>
                          <w:sz w:val="28"/>
                          <w:szCs w:val="28"/>
                        </w:rPr>
                        <w:t>AUDITEUR EXTERNE</w:t>
                      </w:r>
                      <w:r w:rsidRPr="00DD0AC6">
                        <w:rPr>
                          <w:rFonts w:ascii="Times New Roman" w:hAnsi="Times New Roman"/>
                          <w:b/>
                          <w:sz w:val="28"/>
                          <w:szCs w:val="28"/>
                        </w:rPr>
                        <w:t xml:space="preserve"> </w:t>
                      </w:r>
                      <w:r>
                        <w:rPr>
                          <w:rFonts w:ascii="Times New Roman" w:hAnsi="Times New Roman"/>
                          <w:b/>
                          <w:sz w:val="28"/>
                          <w:szCs w:val="28"/>
                        </w:rPr>
                        <w:t xml:space="preserve">POUR L’AUDIT DES COMPTES </w:t>
                      </w:r>
                      <w:r w:rsidRPr="00DD0AC6">
                        <w:rPr>
                          <w:rFonts w:ascii="Times New Roman" w:hAnsi="Times New Roman"/>
                          <w:b/>
                          <w:sz w:val="28"/>
                          <w:szCs w:val="28"/>
                        </w:rPr>
                        <w:t xml:space="preserve">DU PROJET D’APPUI REGIONAL </w:t>
                      </w:r>
                      <w:r>
                        <w:rPr>
                          <w:rFonts w:ascii="Times New Roman" w:hAnsi="Times New Roman"/>
                          <w:b/>
                          <w:sz w:val="28"/>
                          <w:szCs w:val="28"/>
                        </w:rPr>
                        <w:t>A L’INITIATIVE POUR L’IRRIGATION AU SAHEL (PARII</w:t>
                      </w:r>
                      <w:r w:rsidRPr="00DD0AC6">
                        <w:rPr>
                          <w:rFonts w:ascii="Times New Roman" w:hAnsi="Times New Roman"/>
                          <w:b/>
                          <w:sz w:val="28"/>
                          <w:szCs w:val="28"/>
                        </w:rPr>
                        <w:t>S)- MALI</w:t>
                      </w:r>
                    </w:p>
                    <w:p w:rsidR="0017409D" w:rsidRPr="00EB60ED" w:rsidRDefault="0017409D" w:rsidP="0017409D">
                      <w:pPr>
                        <w:shd w:val="clear" w:color="auto" w:fill="D6E3BC"/>
                        <w:spacing w:after="0"/>
                        <w:jc w:val="center"/>
                        <w:rPr>
                          <w:rFonts w:ascii="Times New Roman" w:hAnsi="Times New Roman"/>
                          <w:b/>
                          <w:sz w:val="18"/>
                          <w:szCs w:val="18"/>
                        </w:rPr>
                      </w:pPr>
                    </w:p>
                  </w:txbxContent>
                </v:textbox>
              </v:shape>
            </w:pict>
          </mc:Fallback>
        </mc:AlternateContent>
      </w:r>
    </w:p>
    <w:p w:rsidR="0017409D" w:rsidRPr="00050BE6" w:rsidRDefault="0017409D" w:rsidP="0017409D">
      <w:pPr>
        <w:rPr>
          <w:rFonts w:ascii="Times New Roman" w:hAnsi="Times New Roman"/>
          <w:sz w:val="24"/>
          <w:szCs w:val="24"/>
        </w:rPr>
      </w:pPr>
    </w:p>
    <w:p w:rsidR="0017409D" w:rsidRPr="00050BE6" w:rsidRDefault="0017409D" w:rsidP="0017409D">
      <w:pPr>
        <w:rPr>
          <w:rFonts w:ascii="Times New Roman" w:hAnsi="Times New Roman"/>
          <w:sz w:val="24"/>
          <w:szCs w:val="24"/>
        </w:rPr>
      </w:pPr>
    </w:p>
    <w:p w:rsidR="0017409D" w:rsidRPr="00050BE6" w:rsidRDefault="0017409D" w:rsidP="0017409D">
      <w:pPr>
        <w:rPr>
          <w:rFonts w:ascii="Times New Roman" w:hAnsi="Times New Roman"/>
          <w:sz w:val="24"/>
          <w:szCs w:val="24"/>
        </w:rPr>
      </w:pPr>
    </w:p>
    <w:p w:rsidR="0017409D" w:rsidRPr="00050BE6" w:rsidRDefault="0017409D" w:rsidP="0017409D">
      <w:pPr>
        <w:rPr>
          <w:rFonts w:ascii="Times New Roman" w:hAnsi="Times New Roman"/>
          <w:sz w:val="24"/>
          <w:szCs w:val="24"/>
        </w:rPr>
      </w:pPr>
    </w:p>
    <w:p w:rsidR="0017409D" w:rsidRPr="00050BE6" w:rsidRDefault="00F63B5B" w:rsidP="0017409D">
      <w:pPr>
        <w:jc w:val="center"/>
        <w:rPr>
          <w:b/>
          <w:sz w:val="28"/>
          <w:szCs w:val="28"/>
          <w:u w:val="single"/>
        </w:rPr>
      </w:pPr>
      <w:r>
        <w:rPr>
          <w:b/>
          <w:sz w:val="28"/>
          <w:u w:val="single"/>
        </w:rPr>
        <w:t>E</w:t>
      </w:r>
      <w:r w:rsidR="0017409D" w:rsidRPr="00050BE6">
        <w:rPr>
          <w:b/>
          <w:sz w:val="28"/>
          <w:u w:val="single"/>
        </w:rPr>
        <w:t>xercices 20</w:t>
      </w:r>
      <w:r w:rsidR="00205C53">
        <w:rPr>
          <w:b/>
          <w:sz w:val="28"/>
          <w:u w:val="single"/>
        </w:rPr>
        <w:t>21</w:t>
      </w:r>
      <w:r w:rsidR="0017409D">
        <w:rPr>
          <w:b/>
          <w:sz w:val="28"/>
          <w:u w:val="single"/>
        </w:rPr>
        <w:t>, 20</w:t>
      </w:r>
      <w:r w:rsidR="00205C53">
        <w:rPr>
          <w:b/>
          <w:sz w:val="28"/>
          <w:u w:val="single"/>
        </w:rPr>
        <w:t>22</w:t>
      </w:r>
      <w:r w:rsidR="0017409D" w:rsidRPr="00050BE6">
        <w:rPr>
          <w:b/>
          <w:sz w:val="28"/>
          <w:u w:val="single"/>
        </w:rPr>
        <w:t xml:space="preserve"> et </w:t>
      </w:r>
      <w:r w:rsidR="0017409D">
        <w:rPr>
          <w:b/>
          <w:sz w:val="28"/>
          <w:szCs w:val="28"/>
          <w:u w:val="single"/>
        </w:rPr>
        <w:t>202</w:t>
      </w:r>
      <w:r w:rsidR="00205C53">
        <w:rPr>
          <w:b/>
          <w:sz w:val="28"/>
          <w:szCs w:val="28"/>
          <w:u w:val="single"/>
        </w:rPr>
        <w:t>3</w:t>
      </w:r>
      <w:r w:rsidR="0017409D" w:rsidRPr="00050BE6">
        <w:rPr>
          <w:b/>
          <w:sz w:val="28"/>
          <w:szCs w:val="28"/>
          <w:u w:val="single"/>
        </w:rPr>
        <w:t xml:space="preserve"> </w:t>
      </w:r>
    </w:p>
    <w:p w:rsidR="0017409D" w:rsidRPr="00050BE6" w:rsidRDefault="0017409D" w:rsidP="0017409D">
      <w:pPr>
        <w:rPr>
          <w:rFonts w:ascii="Times New Roman" w:hAnsi="Times New Roman"/>
          <w:sz w:val="24"/>
          <w:szCs w:val="24"/>
        </w:rPr>
      </w:pPr>
    </w:p>
    <w:p w:rsidR="0017409D" w:rsidRPr="00050BE6" w:rsidRDefault="0017409D" w:rsidP="0017409D">
      <w:pPr>
        <w:rPr>
          <w:rFonts w:ascii="Times New Roman" w:hAnsi="Times New Roman"/>
          <w:sz w:val="24"/>
          <w:szCs w:val="24"/>
        </w:rPr>
      </w:pPr>
    </w:p>
    <w:p w:rsidR="0017409D" w:rsidRPr="00050BE6" w:rsidRDefault="0017409D" w:rsidP="0017409D">
      <w:pPr>
        <w:rPr>
          <w:rFonts w:ascii="Times New Roman" w:hAnsi="Times New Roman"/>
          <w:sz w:val="24"/>
          <w:szCs w:val="24"/>
        </w:rPr>
      </w:pPr>
    </w:p>
    <w:p w:rsidR="0017409D" w:rsidRPr="00050BE6" w:rsidRDefault="0017409D" w:rsidP="0017409D">
      <w:pPr>
        <w:rPr>
          <w:rFonts w:ascii="Times New Roman" w:hAnsi="Times New Roman"/>
          <w:sz w:val="24"/>
          <w:szCs w:val="24"/>
        </w:rPr>
      </w:pPr>
    </w:p>
    <w:p w:rsidR="0017409D" w:rsidRPr="00050BE6" w:rsidRDefault="0017409D" w:rsidP="0017409D">
      <w:pPr>
        <w:rPr>
          <w:rFonts w:ascii="Times New Roman" w:hAnsi="Times New Roman"/>
          <w:sz w:val="24"/>
          <w:szCs w:val="24"/>
        </w:rPr>
      </w:pPr>
    </w:p>
    <w:p w:rsidR="0017409D" w:rsidRDefault="00205C53" w:rsidP="0017409D">
      <w:pPr>
        <w:jc w:val="right"/>
        <w:rPr>
          <w:rFonts w:ascii="Times New Roman" w:hAnsi="Times New Roman"/>
          <w:sz w:val="24"/>
          <w:szCs w:val="24"/>
        </w:rPr>
      </w:pPr>
      <w:r>
        <w:rPr>
          <w:rFonts w:ascii="Times New Roman" w:hAnsi="Times New Roman"/>
          <w:sz w:val="24"/>
          <w:szCs w:val="24"/>
        </w:rPr>
        <w:t>Mai</w:t>
      </w:r>
      <w:r w:rsidR="0017409D">
        <w:rPr>
          <w:rFonts w:ascii="Times New Roman" w:hAnsi="Times New Roman"/>
          <w:sz w:val="24"/>
          <w:szCs w:val="24"/>
        </w:rPr>
        <w:t xml:space="preserve">  20</w:t>
      </w:r>
      <w:r>
        <w:rPr>
          <w:rFonts w:ascii="Times New Roman" w:hAnsi="Times New Roman"/>
          <w:sz w:val="24"/>
          <w:szCs w:val="24"/>
        </w:rPr>
        <w:t>21</w:t>
      </w:r>
    </w:p>
    <w:p w:rsidR="00EC4E5A" w:rsidRDefault="00EC4E5A" w:rsidP="0017409D">
      <w:pPr>
        <w:jc w:val="right"/>
        <w:rPr>
          <w:rFonts w:ascii="Times New Roman" w:hAnsi="Times New Roman"/>
          <w:sz w:val="24"/>
          <w:szCs w:val="24"/>
        </w:rPr>
      </w:pPr>
    </w:p>
    <w:p w:rsidR="00EC4E5A" w:rsidRPr="00050BE6" w:rsidRDefault="00EC4E5A" w:rsidP="0017409D">
      <w:pPr>
        <w:jc w:val="right"/>
        <w:rPr>
          <w:rFonts w:ascii="Times New Roman" w:hAnsi="Times New Roman"/>
          <w:sz w:val="24"/>
          <w:szCs w:val="24"/>
        </w:rPr>
        <w:sectPr w:rsidR="00EC4E5A" w:rsidRPr="00050BE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rsidR="00EC4E5A" w:rsidRPr="006B181F" w:rsidRDefault="00EC4E5A" w:rsidP="006B181F">
      <w:pPr>
        <w:pStyle w:val="Paragraphedeliste"/>
        <w:numPr>
          <w:ilvl w:val="0"/>
          <w:numId w:val="27"/>
        </w:numPr>
        <w:spacing w:line="276" w:lineRule="auto"/>
        <w:rPr>
          <w:b/>
          <w:bCs/>
          <w:lang w:val="fr-FR"/>
        </w:rPr>
      </w:pPr>
      <w:r w:rsidRPr="006B181F">
        <w:rPr>
          <w:b/>
          <w:bCs/>
          <w:lang w:val="fr-FR"/>
        </w:rPr>
        <w:lastRenderedPageBreak/>
        <w:t>CONTEXTE ET DESCRIPTION SOMMAIRE DU PROJET:</w:t>
      </w:r>
    </w:p>
    <w:p w:rsidR="00EC4E5A" w:rsidRPr="00AF48C3" w:rsidRDefault="00EC4E5A" w:rsidP="00EC4E5A">
      <w:pPr>
        <w:keepNext/>
        <w:spacing w:before="240" w:after="60"/>
        <w:jc w:val="both"/>
        <w:outlineLvl w:val="1"/>
        <w:rPr>
          <w:rFonts w:ascii="Times New Roman" w:eastAsia="Times New Roman" w:hAnsi="Times New Roman" w:cs="Times New Roman"/>
          <w:b/>
          <w:bCs/>
          <w:i/>
          <w:iCs/>
          <w:sz w:val="28"/>
          <w:szCs w:val="28"/>
          <w:lang w:val="fr-ML"/>
        </w:rPr>
      </w:pPr>
      <w:r w:rsidRPr="00AF48C3">
        <w:rPr>
          <w:rFonts w:ascii="Times New Roman" w:eastAsia="Times New Roman" w:hAnsi="Times New Roman" w:cs="Times New Roman"/>
          <w:b/>
          <w:bCs/>
          <w:i/>
          <w:iCs/>
          <w:sz w:val="28"/>
          <w:szCs w:val="28"/>
          <w:lang w:val="fr-ML"/>
        </w:rPr>
        <w:t>1-1 Contexte</w:t>
      </w:r>
    </w:p>
    <w:p w:rsidR="00EC4E5A" w:rsidRPr="00AF48C3" w:rsidRDefault="00EC4E5A" w:rsidP="00EC4E5A">
      <w:pPr>
        <w:jc w:val="both"/>
        <w:rPr>
          <w:rFonts w:ascii="Times New Roman" w:eastAsia="Calibri" w:hAnsi="Times New Roman" w:cs="Times New Roman"/>
          <w:sz w:val="24"/>
          <w:lang w:eastAsia="fr-BE"/>
        </w:rPr>
      </w:pPr>
      <w:r w:rsidRPr="00AF48C3">
        <w:rPr>
          <w:rFonts w:ascii="Times New Roman" w:eastAsia="Calibri" w:hAnsi="Times New Roman" w:cs="Times New Roman"/>
          <w:sz w:val="24"/>
          <w:lang w:eastAsia="fr-BE"/>
        </w:rPr>
        <w:t>Le Mali est certainement le pays du sahel qui dispose de plus potentialités en termes de ressources en eau et en terres avec 65 milliards de m3 d’écoulement annuel moyen d’eau de surface (bassins des fleuves Niger, Sénégal et Sourou), 2.500 milliards de m3 d’eau souterraine avec un taux de renouvellement annuel</w:t>
      </w:r>
      <w:r w:rsidRPr="00AF48C3">
        <w:rPr>
          <w:rFonts w:ascii="Times New Roman" w:eastAsia="Calibri" w:hAnsi="Times New Roman" w:cs="Times New Roman"/>
          <w:sz w:val="24"/>
          <w:vertAlign w:val="superscript"/>
          <w:lang w:val="en-GB" w:eastAsia="fr-BE"/>
        </w:rPr>
        <w:footnoteReference w:id="1"/>
      </w:r>
      <w:r w:rsidRPr="00AF48C3">
        <w:rPr>
          <w:rFonts w:ascii="Times New Roman" w:eastAsia="Calibri" w:hAnsi="Times New Roman" w:cs="Times New Roman"/>
          <w:sz w:val="24"/>
          <w:lang w:eastAsia="fr-BE"/>
        </w:rPr>
        <w:t xml:space="preserve"> d’environ 60 milliards de m3 et près de 2.200.000 ha de terre apte à l’irrigation</w:t>
      </w:r>
      <w:r w:rsidRPr="00AF48C3">
        <w:rPr>
          <w:rFonts w:ascii="Times New Roman" w:eastAsia="Calibri" w:hAnsi="Times New Roman" w:cs="Times New Roman"/>
          <w:sz w:val="24"/>
          <w:vertAlign w:val="superscript"/>
          <w:lang w:val="en-GB" w:eastAsia="fr-BE"/>
        </w:rPr>
        <w:footnoteReference w:id="2"/>
      </w:r>
      <w:r w:rsidRPr="00AF48C3">
        <w:rPr>
          <w:rFonts w:ascii="Times New Roman" w:eastAsia="Calibri" w:hAnsi="Times New Roman" w:cs="Times New Roman"/>
          <w:sz w:val="24"/>
          <w:lang w:eastAsia="fr-BE"/>
        </w:rPr>
        <w:t>. Ainsi, la maitrise de l’eau pour le développement de l'irrigation constitue une des priorités majeures pour le Gouvernement. Aussi, le pays dispose de grands périmètres irrigués, de nombreuses infrastructures hydro-agricoles et d’une longue tradition de la pratique de l'irrigation. Par ailleurs, à travers d’importants projets visant à augmenter la surface sous irrigation et le rendement des cultures, en particulier le riz, le Mali peut occuper une place de choix dans l’approvisionnement en denrées alimentaires pour les populations du Sahel.</w:t>
      </w:r>
    </w:p>
    <w:p w:rsidR="00EC4E5A" w:rsidRPr="00AF48C3" w:rsidRDefault="00EC4E5A" w:rsidP="00EC4E5A">
      <w:pPr>
        <w:jc w:val="both"/>
        <w:rPr>
          <w:rFonts w:ascii="Times New Roman" w:eastAsia="Times New Roman" w:hAnsi="Times New Roman" w:cs="Times New Roman"/>
          <w:sz w:val="24"/>
        </w:rPr>
      </w:pPr>
      <w:r w:rsidRPr="00AF48C3">
        <w:rPr>
          <w:rFonts w:ascii="Times New Roman" w:eastAsia="Times New Roman" w:hAnsi="Times New Roman" w:cs="Times New Roman"/>
          <w:sz w:val="24"/>
        </w:rPr>
        <w:t>Le PARIIS permettra au Mali de valoriser les solutions d’irrigation qu’il a développé depuis plusieurs décennies et de tirer parti des expériences et bonnes pratiques des autres pays de l’Initiative 2iS. Ainsi, le projet permettra de renforcer et mettre à l’échelle les acquis engrangés au Mali, notamment dans le domaine de l’Irrigation de proximité (Type 1 et 3) à travers le PNIP. Le projet appuiera la modernisation et le renforcement des Sociétés d’Aménagement et de Gestion de l’Irrigation (SAGI, type 4). De plus le PARIIS donnera une impulsion au développement de l’irrigation commerciale privée (type 2 et 5).</w:t>
      </w:r>
    </w:p>
    <w:p w:rsidR="00EC4E5A" w:rsidRPr="00AF48C3" w:rsidRDefault="000C6CBA" w:rsidP="00EC4E5A">
      <w:pPr>
        <w:jc w:val="both"/>
        <w:rPr>
          <w:rFonts w:ascii="Times New Roman" w:eastAsia="Times New Roman" w:hAnsi="Times New Roman" w:cs="Times New Roman"/>
          <w:b/>
          <w:i/>
          <w:sz w:val="24"/>
        </w:rPr>
      </w:pPr>
      <w:bookmarkStart w:id="0" w:name="_Toc471861694"/>
      <w:r>
        <w:rPr>
          <w:rFonts w:ascii="Times New Roman" w:eastAsia="Times New Roman" w:hAnsi="Times New Roman" w:cs="Times New Roman"/>
          <w:b/>
          <w:i/>
          <w:sz w:val="24"/>
        </w:rPr>
        <w:t xml:space="preserve">Montant et </w:t>
      </w:r>
      <w:r w:rsidR="002B6EF0">
        <w:rPr>
          <w:rFonts w:ascii="Times New Roman" w:eastAsia="Times New Roman" w:hAnsi="Times New Roman" w:cs="Times New Roman"/>
          <w:b/>
          <w:i/>
          <w:sz w:val="24"/>
        </w:rPr>
        <w:t xml:space="preserve">durée </w:t>
      </w:r>
      <w:r w:rsidR="00EC4E5A" w:rsidRPr="00AF48C3">
        <w:rPr>
          <w:rFonts w:ascii="Times New Roman" w:eastAsia="Times New Roman" w:hAnsi="Times New Roman" w:cs="Times New Roman"/>
          <w:b/>
          <w:i/>
          <w:sz w:val="24"/>
        </w:rPr>
        <w:t>d’exécution du projet</w:t>
      </w:r>
      <w:bookmarkEnd w:id="0"/>
      <w:r w:rsidR="00EC4E5A" w:rsidRPr="00AF48C3">
        <w:rPr>
          <w:rFonts w:ascii="Times New Roman" w:eastAsia="Times New Roman" w:hAnsi="Times New Roman" w:cs="Times New Roman"/>
          <w:b/>
          <w:i/>
          <w:sz w:val="24"/>
        </w:rPr>
        <w:t xml:space="preserve"> </w:t>
      </w:r>
    </w:p>
    <w:p w:rsidR="00EC4E5A" w:rsidRPr="00AF48C3" w:rsidRDefault="00D15554" w:rsidP="00EC4E5A">
      <w:pPr>
        <w:jc w:val="both"/>
        <w:rPr>
          <w:rFonts w:ascii="Times New Roman" w:eastAsia="Times New Roman" w:hAnsi="Times New Roman" w:cs="Times New Roman"/>
          <w:sz w:val="24"/>
          <w:lang w:eastAsia="fr-BE"/>
        </w:rPr>
      </w:pPr>
      <w:r w:rsidRPr="00BE1B57">
        <w:rPr>
          <w:rFonts w:ascii="Times New Roman" w:hAnsi="Times New Roman"/>
          <w:sz w:val="24"/>
          <w:szCs w:val="24"/>
        </w:rPr>
        <w:t xml:space="preserve">Le </w:t>
      </w:r>
      <w:r w:rsidRPr="00232107">
        <w:rPr>
          <w:rFonts w:ascii="Times New Roman" w:hAnsi="Times New Roman"/>
          <w:sz w:val="24"/>
          <w:szCs w:val="24"/>
        </w:rPr>
        <w:t>Projet</w:t>
      </w:r>
      <w:r w:rsidRPr="00BE1B57">
        <w:rPr>
          <w:rFonts w:ascii="Times New Roman" w:hAnsi="Times New Roman"/>
          <w:sz w:val="24"/>
          <w:szCs w:val="24"/>
        </w:rPr>
        <w:t xml:space="preserve"> est cofinancé par la Banque Mondiale avec un </w:t>
      </w:r>
      <w:r w:rsidRPr="00232107">
        <w:rPr>
          <w:rFonts w:ascii="Times New Roman" w:hAnsi="Times New Roman"/>
          <w:sz w:val="24"/>
          <w:szCs w:val="24"/>
        </w:rPr>
        <w:t>crédit</w:t>
      </w:r>
      <w:r w:rsidRPr="00BE1B57">
        <w:rPr>
          <w:rFonts w:ascii="Times New Roman" w:hAnsi="Times New Roman"/>
          <w:sz w:val="24"/>
          <w:szCs w:val="24"/>
        </w:rPr>
        <w:t xml:space="preserve"> de</w:t>
      </w:r>
      <w:r>
        <w:rPr>
          <w:rFonts w:ascii="Times New Roman" w:hAnsi="Times New Roman"/>
          <w:sz w:val="24"/>
          <w:szCs w:val="24"/>
        </w:rPr>
        <w:t> : quatorze millions deux cent mille</w:t>
      </w:r>
      <w:r w:rsidRPr="00BE1B57">
        <w:rPr>
          <w:rFonts w:ascii="Times New Roman" w:hAnsi="Times New Roman"/>
          <w:sz w:val="24"/>
          <w:szCs w:val="24"/>
        </w:rPr>
        <w:t xml:space="preserve"> (</w:t>
      </w:r>
      <w:r w:rsidRPr="00232107">
        <w:rPr>
          <w:rFonts w:ascii="Times New Roman" w:hAnsi="Times New Roman"/>
          <w:sz w:val="24"/>
          <w:szCs w:val="24"/>
        </w:rPr>
        <w:t>14.200.000)</w:t>
      </w:r>
      <w:r w:rsidRPr="00BE1B57">
        <w:rPr>
          <w:rFonts w:ascii="Times New Roman" w:hAnsi="Times New Roman"/>
          <w:sz w:val="24"/>
          <w:szCs w:val="24"/>
        </w:rPr>
        <w:t xml:space="preserve"> </w:t>
      </w:r>
      <w:r w:rsidR="00232107">
        <w:rPr>
          <w:rFonts w:ascii="Times New Roman" w:hAnsi="Times New Roman"/>
          <w:sz w:val="24"/>
          <w:szCs w:val="24"/>
        </w:rPr>
        <w:t>E</w:t>
      </w:r>
      <w:r>
        <w:rPr>
          <w:rFonts w:ascii="Times New Roman" w:hAnsi="Times New Roman"/>
          <w:sz w:val="24"/>
          <w:szCs w:val="24"/>
        </w:rPr>
        <w:t xml:space="preserve">uros </w:t>
      </w:r>
      <w:r w:rsidRPr="00BE1B57">
        <w:rPr>
          <w:rFonts w:ascii="Times New Roman" w:hAnsi="Times New Roman"/>
          <w:sz w:val="24"/>
          <w:szCs w:val="24"/>
        </w:rPr>
        <w:t>et avec un don de</w:t>
      </w:r>
      <w:r w:rsidR="00232107">
        <w:rPr>
          <w:rFonts w:ascii="Times New Roman" w:hAnsi="Times New Roman"/>
          <w:sz w:val="24"/>
          <w:szCs w:val="24"/>
        </w:rPr>
        <w:t xml:space="preserve"> : Cinq millions neuf cent mille </w:t>
      </w:r>
      <w:r w:rsidR="00232107" w:rsidRPr="002825FB">
        <w:rPr>
          <w:rFonts w:ascii="Times New Roman" w:hAnsi="Times New Roman"/>
          <w:sz w:val="24"/>
          <w:szCs w:val="24"/>
        </w:rPr>
        <w:t xml:space="preserve">(5.900.000 DTS) </w:t>
      </w:r>
      <w:r w:rsidRPr="00BE1B57">
        <w:rPr>
          <w:rFonts w:ascii="Times New Roman" w:hAnsi="Times New Roman"/>
          <w:sz w:val="24"/>
          <w:szCs w:val="24"/>
        </w:rPr>
        <w:t xml:space="preserve"> Droits de Tirage Spéciaux; avec les fonds de FONPRODE par le biais d’un </w:t>
      </w:r>
      <w:r w:rsidR="00232107" w:rsidRPr="00232107">
        <w:rPr>
          <w:rFonts w:ascii="Times New Roman" w:hAnsi="Times New Roman"/>
          <w:sz w:val="24"/>
          <w:szCs w:val="24"/>
        </w:rPr>
        <w:t>crédit</w:t>
      </w:r>
      <w:r w:rsidRPr="00BE1B57">
        <w:rPr>
          <w:rFonts w:ascii="Times New Roman" w:hAnsi="Times New Roman"/>
          <w:sz w:val="24"/>
          <w:szCs w:val="24"/>
        </w:rPr>
        <w:t xml:space="preserve"> de</w:t>
      </w:r>
      <w:r w:rsidR="00232107">
        <w:rPr>
          <w:rFonts w:ascii="Times New Roman" w:hAnsi="Times New Roman"/>
          <w:sz w:val="24"/>
          <w:szCs w:val="24"/>
        </w:rPr>
        <w:t> :</w:t>
      </w:r>
      <w:r w:rsidRPr="00BE1B57">
        <w:rPr>
          <w:rFonts w:ascii="Times New Roman" w:hAnsi="Times New Roman"/>
          <w:sz w:val="24"/>
          <w:szCs w:val="24"/>
        </w:rPr>
        <w:t xml:space="preserve"> </w:t>
      </w:r>
      <w:r w:rsidR="00232107">
        <w:rPr>
          <w:rFonts w:ascii="Times New Roman" w:hAnsi="Times New Roman"/>
          <w:sz w:val="24"/>
          <w:szCs w:val="24"/>
        </w:rPr>
        <w:t xml:space="preserve">dix millions </w:t>
      </w:r>
      <w:r w:rsidRPr="00BE1B57">
        <w:rPr>
          <w:rFonts w:ascii="Times New Roman" w:hAnsi="Times New Roman"/>
          <w:sz w:val="24"/>
          <w:szCs w:val="24"/>
        </w:rPr>
        <w:t>(10</w:t>
      </w:r>
      <w:r w:rsidR="00232107" w:rsidRPr="00232107">
        <w:rPr>
          <w:rFonts w:ascii="Times New Roman" w:hAnsi="Times New Roman"/>
          <w:sz w:val="24"/>
          <w:szCs w:val="24"/>
        </w:rPr>
        <w:t>.000.000) Euros</w:t>
      </w:r>
      <w:r>
        <w:rPr>
          <w:rFonts w:ascii="Arial" w:hAnsi="Arial" w:cs="Arial"/>
          <w:sz w:val="24"/>
          <w:szCs w:val="24"/>
        </w:rPr>
        <w:t xml:space="preserve"> </w:t>
      </w:r>
      <w:r w:rsidR="002B6EF0">
        <w:rPr>
          <w:rFonts w:ascii="Times New Roman" w:hAnsi="Times New Roman"/>
          <w:sz w:val="24"/>
          <w:szCs w:val="24"/>
        </w:rPr>
        <w:t xml:space="preserve">pour </w:t>
      </w:r>
      <w:r w:rsidR="00113E8B" w:rsidRPr="00726E5A">
        <w:rPr>
          <w:rFonts w:ascii="Times New Roman" w:hAnsi="Times New Roman"/>
          <w:sz w:val="24"/>
          <w:szCs w:val="24"/>
        </w:rPr>
        <w:t>une durée de six (6) ans qui commencera dès la mise en vigueur du projet</w:t>
      </w:r>
      <w:r w:rsidR="00113E8B">
        <w:rPr>
          <w:rFonts w:ascii="Times New Roman" w:eastAsia="Times New Roman" w:hAnsi="Times New Roman" w:cs="Times New Roman"/>
          <w:sz w:val="24"/>
          <w:lang w:eastAsia="fr-BE"/>
        </w:rPr>
        <w:t xml:space="preserve">. </w:t>
      </w:r>
      <w:r w:rsidR="00EC4E5A" w:rsidRPr="00AF48C3">
        <w:rPr>
          <w:rFonts w:ascii="Times New Roman" w:eastAsia="Times New Roman" w:hAnsi="Times New Roman" w:cs="Times New Roman"/>
          <w:sz w:val="24"/>
          <w:lang w:eastAsia="fr-BE"/>
        </w:rPr>
        <w:t xml:space="preserve"> La date de</w:t>
      </w:r>
      <w:r w:rsidR="00EC4E5A">
        <w:rPr>
          <w:rFonts w:ascii="Times New Roman" w:eastAsia="Times New Roman" w:hAnsi="Times New Roman" w:cs="Times New Roman"/>
          <w:sz w:val="24"/>
          <w:lang w:eastAsia="fr-BE"/>
        </w:rPr>
        <w:t xml:space="preserve"> la déclaration de mise en vigueur est le 26 juillet 2018</w:t>
      </w:r>
      <w:r w:rsidR="00EC4E5A" w:rsidRPr="00AF48C3">
        <w:rPr>
          <w:rFonts w:ascii="Times New Roman" w:eastAsia="Times New Roman" w:hAnsi="Times New Roman" w:cs="Times New Roman"/>
          <w:sz w:val="24"/>
          <w:lang w:eastAsia="fr-BE"/>
        </w:rPr>
        <w:t xml:space="preserve"> et la date </w:t>
      </w:r>
      <w:r w:rsidR="00EC4E5A">
        <w:rPr>
          <w:rFonts w:ascii="Times New Roman" w:eastAsia="Times New Roman" w:hAnsi="Times New Roman" w:cs="Times New Roman"/>
          <w:sz w:val="24"/>
          <w:lang w:eastAsia="fr-BE"/>
        </w:rPr>
        <w:t>clôture est fixée au 31 mars 2024</w:t>
      </w:r>
      <w:r w:rsidR="00EC4E5A" w:rsidRPr="00AF48C3">
        <w:rPr>
          <w:rFonts w:ascii="Times New Roman" w:eastAsia="Times New Roman" w:hAnsi="Times New Roman" w:cs="Times New Roman"/>
          <w:sz w:val="24"/>
          <w:lang w:eastAsia="fr-BE"/>
        </w:rPr>
        <w:t>.</w:t>
      </w:r>
    </w:p>
    <w:p w:rsidR="00232107" w:rsidRDefault="0017409D" w:rsidP="0017409D">
      <w:pPr>
        <w:pStyle w:val="Paragraphedeliste"/>
        <w:spacing w:line="276" w:lineRule="auto"/>
        <w:ind w:left="0"/>
        <w:jc w:val="both"/>
        <w:rPr>
          <w:lang w:val="fr-FR"/>
        </w:rPr>
      </w:pPr>
      <w:r w:rsidRPr="00050BE6">
        <w:rPr>
          <w:rFonts w:eastAsia="Calibri"/>
          <w:lang w:val="fr-FR"/>
        </w:rPr>
        <w:t xml:space="preserve">Dans le souci du respect des procédures de gestion financière de l’IDA, les comptes annuels du </w:t>
      </w:r>
      <w:r>
        <w:rPr>
          <w:rFonts w:eastAsia="Calibri"/>
          <w:lang w:val="fr-FR"/>
        </w:rPr>
        <w:t xml:space="preserve">PARIIS </w:t>
      </w:r>
      <w:r w:rsidRPr="00050BE6">
        <w:rPr>
          <w:rFonts w:eastAsia="Calibri"/>
          <w:lang w:val="fr-FR"/>
        </w:rPr>
        <w:t>doivent être soumis à des audits annuels, d</w:t>
      </w:r>
      <w:r w:rsidRPr="00050BE6">
        <w:rPr>
          <w:lang w:val="fr-FR"/>
        </w:rPr>
        <w:t>’où la nécessité de recruter un auditeur externe</w:t>
      </w:r>
      <w:r w:rsidR="00E8191A">
        <w:rPr>
          <w:lang w:val="fr-FR"/>
        </w:rPr>
        <w:t xml:space="preserve"> pour les exercices 20</w:t>
      </w:r>
      <w:r w:rsidR="00205C53">
        <w:rPr>
          <w:lang w:val="fr-FR"/>
        </w:rPr>
        <w:t>21</w:t>
      </w:r>
      <w:r w:rsidR="00E8191A">
        <w:rPr>
          <w:lang w:val="fr-FR"/>
        </w:rPr>
        <w:t>, 20</w:t>
      </w:r>
      <w:r w:rsidR="00205C53">
        <w:rPr>
          <w:lang w:val="fr-FR"/>
        </w:rPr>
        <w:t>22</w:t>
      </w:r>
      <w:r w:rsidR="00E8191A">
        <w:rPr>
          <w:lang w:val="fr-FR"/>
        </w:rPr>
        <w:t xml:space="preserve"> et 202</w:t>
      </w:r>
      <w:r w:rsidR="00205C53">
        <w:rPr>
          <w:lang w:val="fr-FR"/>
        </w:rPr>
        <w:t>3</w:t>
      </w:r>
      <w:r w:rsidRPr="00050BE6">
        <w:rPr>
          <w:lang w:val="fr-FR"/>
        </w:rPr>
        <w:t xml:space="preserve">. </w:t>
      </w:r>
    </w:p>
    <w:p w:rsidR="0017409D" w:rsidRPr="00050BE6" w:rsidRDefault="0017409D" w:rsidP="0017409D">
      <w:pPr>
        <w:pStyle w:val="Paragraphedeliste"/>
        <w:spacing w:line="276" w:lineRule="auto"/>
        <w:ind w:left="0"/>
        <w:jc w:val="both"/>
        <w:rPr>
          <w:rFonts w:eastAsia="Calibri"/>
          <w:lang w:val="fr-FR"/>
        </w:rPr>
      </w:pPr>
      <w:r w:rsidRPr="00050BE6">
        <w:rPr>
          <w:lang w:val="fr-FR"/>
        </w:rPr>
        <w:t>Les présents termes de références ont été élaborés dans ce cadre.</w:t>
      </w:r>
    </w:p>
    <w:p w:rsidR="0017409D" w:rsidRPr="00050BE6" w:rsidRDefault="0017409D" w:rsidP="0017409D">
      <w:pPr>
        <w:spacing w:after="0"/>
        <w:jc w:val="both"/>
        <w:rPr>
          <w:rFonts w:ascii="Times New Roman" w:hAnsi="Times New Roman"/>
          <w:sz w:val="24"/>
          <w:szCs w:val="24"/>
        </w:rPr>
      </w:pPr>
    </w:p>
    <w:p w:rsidR="0017409D" w:rsidRPr="00050BE6" w:rsidRDefault="0017409D" w:rsidP="0017409D">
      <w:pPr>
        <w:pStyle w:val="Paragraphedeliste"/>
        <w:numPr>
          <w:ilvl w:val="0"/>
          <w:numId w:val="27"/>
        </w:numPr>
        <w:spacing w:line="276" w:lineRule="auto"/>
        <w:rPr>
          <w:b/>
          <w:bCs/>
        </w:rPr>
      </w:pPr>
      <w:r w:rsidRPr="00050BE6">
        <w:rPr>
          <w:b/>
          <w:bCs/>
          <w:lang w:val="fr-FR"/>
        </w:rPr>
        <w:t xml:space="preserve"> </w:t>
      </w:r>
      <w:r w:rsidRPr="00050BE6">
        <w:rPr>
          <w:b/>
          <w:bCs/>
        </w:rPr>
        <w:t>OBJECTIFS DE L’AUDIT</w:t>
      </w:r>
    </w:p>
    <w:p w:rsidR="0017409D" w:rsidRPr="00050BE6" w:rsidRDefault="0017409D" w:rsidP="0017409D">
      <w:pPr>
        <w:pStyle w:val="Paragraphedeliste"/>
        <w:spacing w:line="276" w:lineRule="auto"/>
        <w:ind w:left="0"/>
        <w:rPr>
          <w:b/>
          <w:bCs/>
        </w:rPr>
      </w:pPr>
    </w:p>
    <w:p w:rsidR="0017409D" w:rsidRPr="00050BE6" w:rsidRDefault="0017409D" w:rsidP="0017409D">
      <w:pPr>
        <w:pStyle w:val="Paragraphedeliste"/>
        <w:spacing w:line="276" w:lineRule="auto"/>
        <w:ind w:left="0"/>
        <w:rPr>
          <w:b/>
          <w:bCs/>
          <w:lang w:val="fr-FR"/>
        </w:rPr>
      </w:pPr>
      <w:r w:rsidRPr="00050BE6">
        <w:rPr>
          <w:b/>
          <w:bCs/>
          <w:lang w:val="fr-FR"/>
        </w:rPr>
        <w:t>Objectif général</w:t>
      </w:r>
    </w:p>
    <w:p w:rsidR="0017409D" w:rsidRPr="00050BE6" w:rsidRDefault="0017409D" w:rsidP="0017409D">
      <w:pPr>
        <w:pStyle w:val="Paragraphedeliste"/>
        <w:spacing w:line="276" w:lineRule="auto"/>
        <w:ind w:left="1080"/>
        <w:rPr>
          <w:b/>
          <w:bCs/>
        </w:rPr>
      </w:pPr>
    </w:p>
    <w:p w:rsidR="0017409D" w:rsidRPr="00050BE6" w:rsidRDefault="0017409D" w:rsidP="0017409D">
      <w:pPr>
        <w:suppressAutoHyphen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L’objectif de l’audit des états financiers est de permettre à l’auditeur d’exprimer une opinion professionnelle sur la situation financière du  crédit contracté dans le cadre de la mise en œuvre du</w:t>
      </w:r>
      <w:r>
        <w:rPr>
          <w:rFonts w:ascii="Times New Roman" w:eastAsia="Times New Roman" w:hAnsi="Times New Roman"/>
          <w:sz w:val="24"/>
          <w:szCs w:val="20"/>
        </w:rPr>
        <w:t xml:space="preserve"> Projet d’Appui Régional à l’Initiative pour l’Irrigation au Sahel (PARIIS) Mali</w:t>
      </w:r>
      <w:r w:rsidRPr="00050BE6">
        <w:rPr>
          <w:rFonts w:ascii="Times New Roman" w:eastAsia="Times New Roman" w:hAnsi="Times New Roman"/>
          <w:sz w:val="24"/>
          <w:szCs w:val="20"/>
        </w:rPr>
        <w:t xml:space="preserve">. Il </w:t>
      </w:r>
      <w:r w:rsidRPr="00050BE6">
        <w:rPr>
          <w:rFonts w:ascii="Times New Roman" w:eastAsia="Times New Roman" w:hAnsi="Times New Roman"/>
          <w:sz w:val="24"/>
          <w:szCs w:val="20"/>
        </w:rPr>
        <w:lastRenderedPageBreak/>
        <w:t xml:space="preserve">s’assurera que les ressources mises à la disposition du Projet </w:t>
      </w:r>
      <w:r>
        <w:rPr>
          <w:rFonts w:ascii="Times New Roman" w:eastAsia="Times New Roman" w:hAnsi="Times New Roman"/>
          <w:sz w:val="24"/>
          <w:szCs w:val="20"/>
        </w:rPr>
        <w:t xml:space="preserve"> </w:t>
      </w:r>
      <w:r w:rsidRPr="00050BE6">
        <w:rPr>
          <w:rFonts w:ascii="Times New Roman" w:eastAsia="Times New Roman" w:hAnsi="Times New Roman"/>
          <w:sz w:val="24"/>
          <w:szCs w:val="20"/>
        </w:rPr>
        <w:t xml:space="preserve">sont utilisées aux fins pour lesquelles elles ont été octroyées. </w:t>
      </w:r>
    </w:p>
    <w:p w:rsidR="0017409D" w:rsidRPr="00050BE6" w:rsidRDefault="0017409D" w:rsidP="0017409D">
      <w:pPr>
        <w:suppressAutoHyphens/>
        <w:spacing w:after="0" w:line="240" w:lineRule="auto"/>
        <w:jc w:val="both"/>
        <w:rPr>
          <w:rFonts w:ascii="Times New Roman" w:eastAsia="Times New Roman" w:hAnsi="Times New Roman"/>
          <w:sz w:val="24"/>
          <w:szCs w:val="20"/>
        </w:rPr>
      </w:pPr>
    </w:p>
    <w:p w:rsidR="0017409D" w:rsidRPr="00050BE6" w:rsidRDefault="0017409D" w:rsidP="0017409D">
      <w:pPr>
        <w:suppressAutoHyphens/>
        <w:spacing w:after="0" w:line="240" w:lineRule="auto"/>
        <w:jc w:val="both"/>
        <w:rPr>
          <w:rFonts w:ascii="Times New Roman" w:eastAsia="Times New Roman" w:hAnsi="Times New Roman"/>
          <w:b/>
          <w:sz w:val="24"/>
          <w:szCs w:val="20"/>
        </w:rPr>
      </w:pPr>
      <w:r w:rsidRPr="00050BE6">
        <w:rPr>
          <w:rFonts w:ascii="Times New Roman" w:eastAsia="Times New Roman" w:hAnsi="Times New Roman"/>
          <w:b/>
          <w:sz w:val="24"/>
          <w:szCs w:val="20"/>
        </w:rPr>
        <w:t>Objectif spécifique :</w:t>
      </w:r>
    </w:p>
    <w:p w:rsidR="0017409D" w:rsidRPr="00050BE6" w:rsidRDefault="0017409D" w:rsidP="0017409D">
      <w:pPr>
        <w:suppressAutoHyphens/>
        <w:spacing w:after="0" w:line="240" w:lineRule="auto"/>
        <w:jc w:val="both"/>
        <w:rPr>
          <w:rFonts w:ascii="Times New Roman" w:eastAsia="Times New Roman" w:hAnsi="Times New Roman"/>
          <w:b/>
          <w:sz w:val="24"/>
          <w:szCs w:val="20"/>
        </w:rPr>
      </w:pPr>
    </w:p>
    <w:p w:rsidR="0017409D" w:rsidRPr="00050BE6" w:rsidRDefault="0017409D" w:rsidP="0017409D">
      <w:pPr>
        <w:suppressAutoHyphen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L’objectif spécifique de l’audit est de :</w:t>
      </w:r>
    </w:p>
    <w:p w:rsidR="0017409D" w:rsidRPr="00050BE6" w:rsidRDefault="0017409D" w:rsidP="0017409D">
      <w:pPr>
        <w:suppressAutoHyphens/>
        <w:spacing w:after="0" w:line="240" w:lineRule="auto"/>
        <w:jc w:val="both"/>
        <w:rPr>
          <w:rFonts w:ascii="Times New Roman" w:eastAsia="Times New Roman" w:hAnsi="Times New Roman"/>
          <w:sz w:val="24"/>
          <w:szCs w:val="20"/>
        </w:rPr>
      </w:pPr>
    </w:p>
    <w:p w:rsidR="0017409D" w:rsidRPr="00050BE6" w:rsidRDefault="0017409D" w:rsidP="0017409D">
      <w:pPr>
        <w:numPr>
          <w:ilvl w:val="0"/>
          <w:numId w:val="32"/>
        </w:numPr>
        <w:suppressAutoHyphens/>
        <w:spacing w:after="0" w:line="240" w:lineRule="auto"/>
        <w:ind w:hanging="356"/>
        <w:jc w:val="both"/>
        <w:rPr>
          <w:rFonts w:ascii="Times New Roman" w:eastAsia="Times New Roman" w:hAnsi="Times New Roman"/>
          <w:sz w:val="24"/>
          <w:szCs w:val="20"/>
          <w:lang w:val="fr-CA"/>
        </w:rPr>
      </w:pPr>
      <w:r>
        <w:rPr>
          <w:rFonts w:ascii="Times New Roman" w:eastAsia="Times New Roman" w:hAnsi="Times New Roman"/>
          <w:sz w:val="24"/>
          <w:szCs w:val="20"/>
          <w:lang w:val="fr-CA"/>
        </w:rPr>
        <w:t>s</w:t>
      </w:r>
      <w:r w:rsidRPr="00050BE6">
        <w:rPr>
          <w:rFonts w:ascii="Times New Roman" w:eastAsia="Times New Roman" w:hAnsi="Times New Roman"/>
          <w:sz w:val="24"/>
          <w:szCs w:val="20"/>
          <w:lang w:val="fr-CA"/>
        </w:rPr>
        <w:t>’assurer que les structures de gestion (administratives et financières) mises en place répondent correctement aux obligations en matière de bonne gestion financière des fonds mis à disposition pour l’exécution des activités du projet, et sont adaptées aux exigences de transparence, de conformité et de rapportage ;</w:t>
      </w:r>
    </w:p>
    <w:p w:rsidR="0017409D" w:rsidRPr="00050BE6" w:rsidRDefault="0017409D" w:rsidP="0017409D">
      <w:pPr>
        <w:suppressAutoHyphens/>
        <w:spacing w:after="0" w:line="240" w:lineRule="auto"/>
        <w:ind w:left="1065"/>
        <w:jc w:val="both"/>
        <w:rPr>
          <w:rFonts w:ascii="Times New Roman" w:eastAsia="Times New Roman" w:hAnsi="Times New Roman"/>
          <w:sz w:val="24"/>
          <w:szCs w:val="20"/>
          <w:lang w:val="fr-CA"/>
        </w:rPr>
      </w:pPr>
    </w:p>
    <w:p w:rsidR="0017409D" w:rsidRPr="00050BE6" w:rsidRDefault="0017409D" w:rsidP="0017409D">
      <w:pPr>
        <w:numPr>
          <w:ilvl w:val="0"/>
          <w:numId w:val="32"/>
        </w:numPr>
        <w:suppressAutoHyphens/>
        <w:spacing w:after="0" w:line="240" w:lineRule="auto"/>
        <w:ind w:hanging="356"/>
        <w:jc w:val="both"/>
        <w:rPr>
          <w:rFonts w:ascii="Times New Roman" w:eastAsia="Times New Roman" w:hAnsi="Times New Roman"/>
          <w:sz w:val="24"/>
          <w:szCs w:val="20"/>
          <w:lang w:val="fr-CA"/>
        </w:rPr>
      </w:pPr>
      <w:r w:rsidRPr="00050BE6">
        <w:rPr>
          <w:rFonts w:ascii="Times New Roman" w:eastAsia="Times New Roman" w:hAnsi="Times New Roman"/>
          <w:sz w:val="24"/>
          <w:szCs w:val="20"/>
          <w:lang w:val="fr-CA"/>
        </w:rPr>
        <w:t>s’assurer, au travers des vérifications, que les conditions spécifiques, prévues tant dans le document de projet, les protocoles d’accord, les contrats ou tout autre document légal, ainsi que les paiements qui s’y attachent, ont été respectées tant du point de vue de la légalité, de la régularité que de la conformité;</w:t>
      </w:r>
    </w:p>
    <w:p w:rsidR="0017409D" w:rsidRPr="00050BE6" w:rsidRDefault="0017409D" w:rsidP="0017409D">
      <w:pPr>
        <w:pStyle w:val="Paragraphedeliste"/>
        <w:rPr>
          <w:szCs w:val="20"/>
          <w:lang w:val="fr-CA"/>
        </w:rPr>
      </w:pPr>
    </w:p>
    <w:p w:rsidR="0017409D" w:rsidRPr="00050BE6" w:rsidRDefault="0017409D" w:rsidP="0017409D">
      <w:pPr>
        <w:numPr>
          <w:ilvl w:val="0"/>
          <w:numId w:val="32"/>
        </w:numPr>
        <w:suppressAutoHyphens/>
        <w:spacing w:after="0" w:line="240" w:lineRule="auto"/>
        <w:ind w:hanging="356"/>
        <w:jc w:val="both"/>
        <w:rPr>
          <w:rFonts w:ascii="Times New Roman" w:eastAsia="Times New Roman" w:hAnsi="Times New Roman"/>
          <w:sz w:val="24"/>
          <w:szCs w:val="20"/>
          <w:lang w:val="fr-CA"/>
        </w:rPr>
      </w:pPr>
      <w:r w:rsidRPr="00050BE6">
        <w:rPr>
          <w:rFonts w:ascii="Times New Roman" w:eastAsia="Times New Roman" w:hAnsi="Times New Roman"/>
          <w:sz w:val="24"/>
          <w:szCs w:val="20"/>
          <w:lang w:val="fr-CA"/>
        </w:rPr>
        <w:t xml:space="preserve">s’assurer que les états financiers dans leur aspect significatif </w:t>
      </w:r>
      <w:r>
        <w:rPr>
          <w:rFonts w:ascii="Times New Roman" w:eastAsia="Times New Roman" w:hAnsi="Times New Roman"/>
          <w:sz w:val="24"/>
          <w:szCs w:val="20"/>
          <w:lang w:val="fr-CA"/>
        </w:rPr>
        <w:t xml:space="preserve">donnent </w:t>
      </w:r>
      <w:r w:rsidRPr="00050BE6">
        <w:rPr>
          <w:rFonts w:ascii="Times New Roman" w:eastAsia="Times New Roman" w:hAnsi="Times New Roman"/>
          <w:sz w:val="24"/>
          <w:szCs w:val="20"/>
          <w:lang w:val="fr-CA"/>
        </w:rPr>
        <w:t>une image fidèle et sincère du projet au terme de la période auditée ;</w:t>
      </w:r>
    </w:p>
    <w:p w:rsidR="0017409D" w:rsidRPr="00050BE6" w:rsidRDefault="0017409D" w:rsidP="0017409D">
      <w:pPr>
        <w:pStyle w:val="Paragraphedeliste"/>
        <w:rPr>
          <w:szCs w:val="20"/>
          <w:lang w:val="fr-CA"/>
        </w:rPr>
      </w:pPr>
    </w:p>
    <w:p w:rsidR="0017409D" w:rsidRPr="00050BE6" w:rsidRDefault="0017409D" w:rsidP="0017409D">
      <w:pPr>
        <w:numPr>
          <w:ilvl w:val="0"/>
          <w:numId w:val="32"/>
        </w:numPr>
        <w:suppressAutoHyphens/>
        <w:spacing w:after="0" w:line="240" w:lineRule="auto"/>
        <w:ind w:hanging="356"/>
        <w:jc w:val="both"/>
        <w:rPr>
          <w:rFonts w:ascii="Times New Roman" w:eastAsia="Times New Roman" w:hAnsi="Times New Roman"/>
          <w:sz w:val="24"/>
          <w:szCs w:val="20"/>
          <w:lang w:val="fr-CA"/>
        </w:rPr>
      </w:pPr>
      <w:r w:rsidRPr="00050BE6">
        <w:rPr>
          <w:rFonts w:ascii="Times New Roman" w:eastAsia="Times New Roman" w:hAnsi="Times New Roman"/>
          <w:sz w:val="24"/>
          <w:szCs w:val="20"/>
          <w:lang w:val="fr-CA"/>
        </w:rPr>
        <w:t>proposer des mesures spécifiques pour le renforcement des dispositifs et des outils de gestion administrative et financière.</w:t>
      </w:r>
    </w:p>
    <w:p w:rsidR="0017409D" w:rsidRPr="00050BE6" w:rsidRDefault="0017409D" w:rsidP="0017409D">
      <w:pPr>
        <w:pStyle w:val="Paragraphedeliste"/>
        <w:rPr>
          <w:szCs w:val="20"/>
          <w:lang w:val="fr-CA"/>
        </w:rPr>
      </w:pPr>
    </w:p>
    <w:p w:rsidR="0017409D" w:rsidRPr="00050BE6" w:rsidRDefault="0017409D" w:rsidP="0017409D">
      <w:pPr>
        <w:suppressAutoHyphens/>
        <w:spacing w:after="0" w:line="240" w:lineRule="auto"/>
        <w:jc w:val="both"/>
        <w:rPr>
          <w:rFonts w:ascii="Times New Roman" w:eastAsia="Times New Roman" w:hAnsi="Times New Roman"/>
          <w:b/>
          <w:sz w:val="24"/>
          <w:szCs w:val="20"/>
          <w:lang w:val="fr-CA"/>
        </w:rPr>
      </w:pPr>
      <w:r w:rsidRPr="00050BE6">
        <w:rPr>
          <w:rFonts w:ascii="Times New Roman" w:eastAsia="Times New Roman" w:hAnsi="Times New Roman"/>
          <w:b/>
          <w:sz w:val="24"/>
          <w:szCs w:val="20"/>
          <w:lang w:val="fr-CA"/>
        </w:rPr>
        <w:t>Résultats attendus</w:t>
      </w:r>
    </w:p>
    <w:p w:rsidR="0017409D" w:rsidRPr="00050BE6" w:rsidRDefault="0017409D" w:rsidP="0017409D">
      <w:pPr>
        <w:suppressAutoHyphens/>
        <w:spacing w:after="0" w:line="240" w:lineRule="auto"/>
        <w:jc w:val="both"/>
        <w:rPr>
          <w:rFonts w:ascii="Times New Roman" w:eastAsia="Times New Roman" w:hAnsi="Times New Roman"/>
          <w:sz w:val="24"/>
          <w:szCs w:val="20"/>
          <w:lang w:val="fr-CA"/>
        </w:rPr>
      </w:pPr>
      <w:r w:rsidRPr="00050BE6">
        <w:rPr>
          <w:rFonts w:ascii="Times New Roman" w:eastAsia="Times New Roman" w:hAnsi="Times New Roman"/>
          <w:sz w:val="24"/>
          <w:szCs w:val="20"/>
          <w:lang w:val="fr-CA"/>
        </w:rPr>
        <w:t>Les résultats attendus de l’audit des états financiers sont :</w:t>
      </w:r>
    </w:p>
    <w:p w:rsidR="0017409D" w:rsidRPr="00050BE6" w:rsidRDefault="0017409D" w:rsidP="0017409D">
      <w:pPr>
        <w:suppressAutoHyphens/>
        <w:spacing w:after="0" w:line="240" w:lineRule="auto"/>
        <w:jc w:val="both"/>
        <w:rPr>
          <w:rFonts w:ascii="Times New Roman" w:eastAsia="Times New Roman" w:hAnsi="Times New Roman"/>
          <w:b/>
          <w:sz w:val="24"/>
          <w:szCs w:val="20"/>
          <w:lang w:val="fr-CA"/>
        </w:rPr>
      </w:pPr>
    </w:p>
    <w:p w:rsidR="0017409D" w:rsidRPr="00050BE6" w:rsidRDefault="0017409D" w:rsidP="0017409D">
      <w:pPr>
        <w:numPr>
          <w:ilvl w:val="0"/>
          <w:numId w:val="33"/>
        </w:numPr>
        <w:suppressAutoHyphens/>
        <w:spacing w:after="0" w:line="240" w:lineRule="auto"/>
        <w:jc w:val="both"/>
        <w:rPr>
          <w:rFonts w:ascii="Times New Roman" w:eastAsia="Times New Roman" w:hAnsi="Times New Roman"/>
          <w:sz w:val="24"/>
          <w:szCs w:val="20"/>
          <w:lang w:val="fr-CA"/>
        </w:rPr>
      </w:pPr>
      <w:r w:rsidRPr="00050BE6">
        <w:rPr>
          <w:rFonts w:ascii="Times New Roman" w:eastAsia="Times New Roman" w:hAnsi="Times New Roman"/>
          <w:sz w:val="24"/>
          <w:szCs w:val="20"/>
          <w:lang w:val="fr-CA"/>
        </w:rPr>
        <w:t>Une opinion sur la régularité, la sincérité et l’image fidèle est donnée sur les états financiers à la clôture de chaque exercice;</w:t>
      </w:r>
    </w:p>
    <w:p w:rsidR="0017409D" w:rsidRPr="00050BE6" w:rsidRDefault="0017409D" w:rsidP="0017409D">
      <w:pPr>
        <w:numPr>
          <w:ilvl w:val="0"/>
          <w:numId w:val="33"/>
        </w:numPr>
        <w:suppressAutoHyphens/>
        <w:spacing w:after="0" w:line="240" w:lineRule="auto"/>
        <w:jc w:val="both"/>
        <w:rPr>
          <w:rFonts w:ascii="Times New Roman" w:eastAsia="Times New Roman" w:hAnsi="Times New Roman"/>
          <w:sz w:val="24"/>
          <w:szCs w:val="20"/>
          <w:lang w:val="fr-CA"/>
        </w:rPr>
      </w:pPr>
      <w:r w:rsidRPr="00050BE6">
        <w:rPr>
          <w:rFonts w:ascii="Times New Roman" w:eastAsia="Times New Roman" w:hAnsi="Times New Roman"/>
          <w:sz w:val="24"/>
          <w:szCs w:val="20"/>
          <w:lang w:val="fr-CA"/>
        </w:rPr>
        <w:t xml:space="preserve">Un diagnostic des structures de gestion (administratives et financières) dans le contexte du </w:t>
      </w:r>
      <w:r>
        <w:rPr>
          <w:rFonts w:ascii="Times New Roman" w:eastAsia="Times New Roman" w:hAnsi="Times New Roman"/>
          <w:sz w:val="24"/>
          <w:szCs w:val="20"/>
          <w:lang w:val="fr-CA"/>
        </w:rPr>
        <w:t xml:space="preserve">PARIIS </w:t>
      </w:r>
      <w:r w:rsidRPr="00050BE6">
        <w:rPr>
          <w:rFonts w:ascii="Times New Roman" w:eastAsia="Times New Roman" w:hAnsi="Times New Roman"/>
          <w:sz w:val="24"/>
          <w:szCs w:val="20"/>
          <w:lang w:val="fr-CA"/>
        </w:rPr>
        <w:t xml:space="preserve"> est établi;</w:t>
      </w:r>
    </w:p>
    <w:p w:rsidR="0017409D" w:rsidRPr="00050BE6" w:rsidRDefault="0017409D" w:rsidP="0017409D">
      <w:pPr>
        <w:numPr>
          <w:ilvl w:val="0"/>
          <w:numId w:val="33"/>
        </w:numPr>
        <w:suppressAutoHyphens/>
        <w:spacing w:after="0" w:line="240" w:lineRule="auto"/>
        <w:jc w:val="both"/>
        <w:rPr>
          <w:rFonts w:ascii="Times New Roman" w:eastAsia="Times New Roman" w:hAnsi="Times New Roman"/>
          <w:sz w:val="24"/>
          <w:szCs w:val="20"/>
          <w:lang w:val="fr-CA"/>
        </w:rPr>
      </w:pPr>
      <w:r w:rsidRPr="00050BE6">
        <w:rPr>
          <w:rFonts w:ascii="Times New Roman" w:eastAsia="Times New Roman" w:hAnsi="Times New Roman"/>
          <w:sz w:val="24"/>
          <w:szCs w:val="20"/>
          <w:lang w:val="fr-CA"/>
        </w:rPr>
        <w:t xml:space="preserve">La légalité, </w:t>
      </w:r>
      <w:r>
        <w:rPr>
          <w:rFonts w:ascii="Times New Roman" w:eastAsia="Times New Roman" w:hAnsi="Times New Roman"/>
          <w:sz w:val="24"/>
          <w:szCs w:val="20"/>
          <w:lang w:val="fr-CA"/>
        </w:rPr>
        <w:t>l</w:t>
      </w:r>
      <w:r w:rsidRPr="00050BE6">
        <w:rPr>
          <w:rFonts w:ascii="Times New Roman" w:eastAsia="Times New Roman" w:hAnsi="Times New Roman"/>
          <w:sz w:val="24"/>
          <w:szCs w:val="20"/>
          <w:lang w:val="fr-CA"/>
        </w:rPr>
        <w:t>a régularité ainsi que la conformité des conditions spécifiques du document de projet, des conventions, protocoles, contrats et des paiements y afférents sont vérifiées;</w:t>
      </w:r>
    </w:p>
    <w:p w:rsidR="0017409D" w:rsidRPr="00F301BD" w:rsidRDefault="0017409D" w:rsidP="00BE1B57">
      <w:pPr>
        <w:numPr>
          <w:ilvl w:val="0"/>
          <w:numId w:val="33"/>
        </w:numPr>
        <w:suppressAutoHyphens/>
        <w:spacing w:after="0" w:line="240" w:lineRule="auto"/>
        <w:jc w:val="both"/>
        <w:rPr>
          <w:rFonts w:ascii="Times New Roman" w:eastAsia="Times New Roman" w:hAnsi="Times New Roman"/>
          <w:sz w:val="24"/>
          <w:szCs w:val="20"/>
          <w:lang w:val="fr-CA"/>
        </w:rPr>
      </w:pPr>
      <w:r w:rsidRPr="00F301BD">
        <w:rPr>
          <w:rFonts w:ascii="Times New Roman" w:eastAsia="Times New Roman" w:hAnsi="Times New Roman"/>
          <w:sz w:val="24"/>
          <w:szCs w:val="20"/>
          <w:lang w:val="fr-CA"/>
        </w:rPr>
        <w:t>Des mesures spécifiques pour le renforcement des dispositifs et des outils de gestion administrative et financière sont proposées</w:t>
      </w:r>
      <w:r w:rsidR="00F301BD">
        <w:rPr>
          <w:rFonts w:ascii="Times New Roman" w:eastAsia="Times New Roman" w:hAnsi="Times New Roman"/>
          <w:sz w:val="24"/>
          <w:szCs w:val="20"/>
          <w:lang w:val="fr-CA"/>
        </w:rPr>
        <w:t>.</w:t>
      </w:r>
    </w:p>
    <w:p w:rsidR="0017409D" w:rsidRPr="00050BE6" w:rsidRDefault="0017409D" w:rsidP="0017409D">
      <w:pPr>
        <w:suppressAutoHyphens/>
        <w:spacing w:after="0" w:line="240" w:lineRule="auto"/>
        <w:jc w:val="both"/>
        <w:rPr>
          <w:rFonts w:ascii="Times New Roman" w:eastAsia="Times New Roman" w:hAnsi="Times New Roman"/>
          <w:sz w:val="24"/>
          <w:szCs w:val="20"/>
        </w:rPr>
      </w:pPr>
    </w:p>
    <w:p w:rsidR="0017409D" w:rsidRPr="00050BE6" w:rsidRDefault="0017409D" w:rsidP="0017409D">
      <w:pPr>
        <w:pStyle w:val="Paragraphedeliste"/>
        <w:numPr>
          <w:ilvl w:val="0"/>
          <w:numId w:val="27"/>
        </w:numPr>
        <w:suppressAutoHyphens/>
        <w:jc w:val="both"/>
        <w:rPr>
          <w:bCs/>
          <w:szCs w:val="20"/>
        </w:rPr>
      </w:pPr>
      <w:r w:rsidRPr="00050BE6">
        <w:rPr>
          <w:b/>
          <w:bCs/>
          <w:lang w:val="fr-FR"/>
        </w:rPr>
        <w:t xml:space="preserve">RESPONSABILITES </w:t>
      </w:r>
    </w:p>
    <w:p w:rsidR="0017409D" w:rsidRPr="00050BE6" w:rsidRDefault="0017409D" w:rsidP="0017409D">
      <w:pPr>
        <w:suppressAutoHyphens/>
        <w:spacing w:after="120" w:line="240" w:lineRule="auto"/>
        <w:jc w:val="both"/>
        <w:rPr>
          <w:rFonts w:ascii="Times New Roman" w:eastAsia="Times New Roman" w:hAnsi="Times New Roman"/>
          <w:bCs/>
          <w:i/>
          <w:sz w:val="24"/>
          <w:szCs w:val="20"/>
        </w:rPr>
      </w:pPr>
      <w:r w:rsidRPr="00050BE6">
        <w:rPr>
          <w:rFonts w:ascii="Times New Roman" w:eastAsia="Times New Roman" w:hAnsi="Times New Roman"/>
          <w:bCs/>
          <w:sz w:val="24"/>
          <w:szCs w:val="20"/>
        </w:rPr>
        <w:t>La responsabilité de la préparation des états financiers comprenant : un tableau emploi ressource (TER), un</w:t>
      </w:r>
      <w:r>
        <w:rPr>
          <w:rFonts w:ascii="Times New Roman" w:eastAsia="Times New Roman" w:hAnsi="Times New Roman"/>
          <w:bCs/>
          <w:sz w:val="24"/>
          <w:szCs w:val="20"/>
        </w:rPr>
        <w:t>e</w:t>
      </w:r>
      <w:r w:rsidRPr="00050BE6">
        <w:rPr>
          <w:rFonts w:ascii="Times New Roman" w:eastAsia="Times New Roman" w:hAnsi="Times New Roman"/>
          <w:bCs/>
          <w:sz w:val="24"/>
          <w:szCs w:val="20"/>
        </w:rPr>
        <w:t xml:space="preserve"> situation patrimoniale (Bilan), un état des transactions de chaque compte désigné, l’inventaire des actifs immobilisés et une note explicative au</w:t>
      </w:r>
      <w:r>
        <w:rPr>
          <w:rFonts w:ascii="Times New Roman" w:eastAsia="Times New Roman" w:hAnsi="Times New Roman"/>
          <w:bCs/>
          <w:sz w:val="24"/>
          <w:szCs w:val="20"/>
        </w:rPr>
        <w:t>x</w:t>
      </w:r>
      <w:r w:rsidRPr="00050BE6">
        <w:rPr>
          <w:rFonts w:ascii="Times New Roman" w:eastAsia="Times New Roman" w:hAnsi="Times New Roman"/>
          <w:bCs/>
          <w:sz w:val="24"/>
          <w:szCs w:val="20"/>
        </w:rPr>
        <w:t xml:space="preserve"> états financiers, relève de l’Unité de Coordination du Projet en conformité avec les principes du Système Comptable de l’OHADA</w:t>
      </w:r>
      <w:r w:rsidR="00486CC6">
        <w:rPr>
          <w:rFonts w:ascii="Times New Roman" w:eastAsia="Times New Roman" w:hAnsi="Times New Roman"/>
          <w:bCs/>
          <w:sz w:val="24"/>
          <w:szCs w:val="20"/>
        </w:rPr>
        <w:t xml:space="preserve"> révisé</w:t>
      </w:r>
      <w:r w:rsidRPr="00050BE6">
        <w:rPr>
          <w:rFonts w:ascii="Times New Roman" w:eastAsia="Times New Roman" w:hAnsi="Times New Roman"/>
          <w:bCs/>
          <w:sz w:val="24"/>
          <w:szCs w:val="20"/>
        </w:rPr>
        <w:t xml:space="preserve"> en vigueur</w:t>
      </w:r>
      <w:r>
        <w:rPr>
          <w:rFonts w:ascii="Times New Roman" w:eastAsia="Times New Roman" w:hAnsi="Times New Roman"/>
          <w:bCs/>
          <w:sz w:val="24"/>
          <w:szCs w:val="20"/>
        </w:rPr>
        <w:t xml:space="preserve"> au Mali</w:t>
      </w:r>
      <w:r w:rsidRPr="00050BE6">
        <w:rPr>
          <w:rFonts w:ascii="Times New Roman" w:eastAsia="Times New Roman" w:hAnsi="Times New Roman"/>
          <w:bCs/>
          <w:sz w:val="24"/>
          <w:szCs w:val="20"/>
        </w:rPr>
        <w:t xml:space="preserve">. </w:t>
      </w:r>
    </w:p>
    <w:p w:rsidR="0017409D" w:rsidRPr="00050BE6" w:rsidRDefault="0017409D" w:rsidP="0017409D">
      <w:pPr>
        <w:suppressAutoHyphens/>
        <w:spacing w:after="120" w:line="240" w:lineRule="auto"/>
        <w:jc w:val="both"/>
        <w:rPr>
          <w:rFonts w:ascii="Times New Roman" w:eastAsia="Times New Roman" w:hAnsi="Times New Roman"/>
          <w:bCs/>
          <w:sz w:val="24"/>
          <w:szCs w:val="20"/>
        </w:rPr>
      </w:pPr>
      <w:r w:rsidRPr="00050BE6">
        <w:rPr>
          <w:rFonts w:ascii="Times New Roman" w:eastAsia="Times New Roman" w:hAnsi="Times New Roman"/>
          <w:bCs/>
          <w:sz w:val="24"/>
          <w:szCs w:val="20"/>
        </w:rPr>
        <w:t>L’auditeur</w:t>
      </w:r>
      <w:r>
        <w:rPr>
          <w:rFonts w:ascii="Times New Roman" w:eastAsia="Times New Roman" w:hAnsi="Times New Roman"/>
          <w:bCs/>
          <w:sz w:val="24"/>
          <w:szCs w:val="20"/>
        </w:rPr>
        <w:t xml:space="preserve"> </w:t>
      </w:r>
      <w:r w:rsidRPr="00050BE6">
        <w:rPr>
          <w:rFonts w:ascii="Times New Roman" w:eastAsia="Times New Roman" w:hAnsi="Times New Roman"/>
          <w:bCs/>
          <w:sz w:val="24"/>
          <w:szCs w:val="20"/>
        </w:rPr>
        <w:t xml:space="preserve">est responsable de la formulation d’une opinion sur les états financiers fondée sur les normes d’audit internationales ISA (International Standards on Auditing) édictées par la Fédération Internationale des Experts-Comptables, IFAC (International Federation of Accountants). En application de ces normes d’audit, l’auditeur demandera </w:t>
      </w:r>
      <w:r>
        <w:rPr>
          <w:rFonts w:ascii="Times New Roman" w:eastAsia="Times New Roman" w:hAnsi="Times New Roman"/>
          <w:bCs/>
          <w:sz w:val="24"/>
          <w:szCs w:val="20"/>
        </w:rPr>
        <w:t>à l’unité</w:t>
      </w:r>
      <w:r w:rsidRPr="00050BE6">
        <w:rPr>
          <w:rFonts w:ascii="Times New Roman" w:eastAsia="Times New Roman" w:hAnsi="Times New Roman"/>
          <w:bCs/>
          <w:sz w:val="24"/>
          <w:szCs w:val="20"/>
        </w:rPr>
        <w:t xml:space="preserve"> de Coordination d</w:t>
      </w:r>
      <w:r>
        <w:rPr>
          <w:rFonts w:ascii="Times New Roman" w:eastAsia="Times New Roman" w:hAnsi="Times New Roman"/>
          <w:bCs/>
          <w:sz w:val="24"/>
          <w:szCs w:val="20"/>
        </w:rPr>
        <w:t>u</w:t>
      </w:r>
      <w:r w:rsidRPr="00050BE6">
        <w:rPr>
          <w:rFonts w:ascii="Times New Roman" w:eastAsia="Times New Roman" w:hAnsi="Times New Roman"/>
          <w:bCs/>
          <w:sz w:val="24"/>
          <w:szCs w:val="20"/>
        </w:rPr>
        <w:t xml:space="preserve"> </w:t>
      </w:r>
      <w:r>
        <w:rPr>
          <w:rFonts w:ascii="Times New Roman" w:eastAsia="Times New Roman" w:hAnsi="Times New Roman"/>
          <w:bCs/>
          <w:sz w:val="24"/>
          <w:szCs w:val="20"/>
        </w:rPr>
        <w:t>p</w:t>
      </w:r>
      <w:r w:rsidRPr="00050BE6">
        <w:rPr>
          <w:rFonts w:ascii="Times New Roman" w:eastAsia="Times New Roman" w:hAnsi="Times New Roman"/>
          <w:bCs/>
          <w:sz w:val="24"/>
          <w:szCs w:val="20"/>
        </w:rPr>
        <w:t>rojet, une lettre de d’affirmation engageant la responsabilité de</w:t>
      </w:r>
      <w:r>
        <w:rPr>
          <w:rFonts w:ascii="Times New Roman" w:eastAsia="Times New Roman" w:hAnsi="Times New Roman"/>
          <w:bCs/>
          <w:sz w:val="24"/>
          <w:szCs w:val="20"/>
        </w:rPr>
        <w:t xml:space="preserve"> la coordination</w:t>
      </w:r>
      <w:r w:rsidRPr="00050BE6">
        <w:rPr>
          <w:rFonts w:ascii="Times New Roman" w:eastAsia="Times New Roman" w:hAnsi="Times New Roman"/>
          <w:bCs/>
          <w:sz w:val="24"/>
          <w:szCs w:val="20"/>
        </w:rPr>
        <w:t xml:space="preserve"> dans l’établissement des états financiers et le maintien d’un système de contrôle adéquat.</w:t>
      </w:r>
    </w:p>
    <w:p w:rsidR="0017409D" w:rsidRPr="00050BE6" w:rsidRDefault="0017409D" w:rsidP="0017409D">
      <w:pPr>
        <w:suppressAutoHyphens/>
        <w:spacing w:after="0" w:line="240" w:lineRule="auto"/>
        <w:jc w:val="both"/>
        <w:rPr>
          <w:rFonts w:ascii="Times New Roman" w:eastAsia="Times New Roman" w:hAnsi="Times New Roman"/>
          <w:b/>
          <w:sz w:val="24"/>
          <w:szCs w:val="20"/>
        </w:rPr>
      </w:pPr>
    </w:p>
    <w:p w:rsidR="0017409D" w:rsidRPr="00050BE6" w:rsidRDefault="0017409D" w:rsidP="0017409D">
      <w:pPr>
        <w:pStyle w:val="Paragraphedeliste"/>
        <w:numPr>
          <w:ilvl w:val="0"/>
          <w:numId w:val="27"/>
        </w:numPr>
        <w:suppressAutoHyphens/>
        <w:spacing w:after="120"/>
        <w:jc w:val="both"/>
        <w:rPr>
          <w:b/>
          <w:i/>
          <w:szCs w:val="20"/>
        </w:rPr>
      </w:pPr>
      <w:r w:rsidRPr="00050BE6">
        <w:rPr>
          <w:b/>
          <w:bCs/>
          <w:lang w:val="fr-FR"/>
        </w:rPr>
        <w:t xml:space="preserve"> </w:t>
      </w:r>
      <w:r w:rsidRPr="00050BE6">
        <w:rPr>
          <w:b/>
          <w:bCs/>
        </w:rPr>
        <w:t>ETENDUE DE LA MISSION </w:t>
      </w:r>
    </w:p>
    <w:p w:rsidR="0017409D" w:rsidRPr="00050BE6" w:rsidRDefault="0017409D" w:rsidP="0017409D">
      <w:pPr>
        <w:pStyle w:val="Paragraphedeliste"/>
        <w:suppressAutoHyphens/>
        <w:spacing w:after="120"/>
        <w:ind w:left="1080"/>
        <w:jc w:val="both"/>
        <w:rPr>
          <w:b/>
          <w:i/>
          <w:szCs w:val="20"/>
        </w:rPr>
      </w:pPr>
    </w:p>
    <w:p w:rsidR="0017409D" w:rsidRPr="00050BE6" w:rsidRDefault="0017409D" w:rsidP="0017409D">
      <w:pPr>
        <w:pStyle w:val="Paragraphedeliste"/>
        <w:suppressAutoHyphens/>
        <w:spacing w:after="120"/>
        <w:ind w:left="0"/>
        <w:jc w:val="both"/>
        <w:rPr>
          <w:b/>
          <w:i/>
          <w:szCs w:val="20"/>
          <w:lang w:val="fr-FR"/>
        </w:rPr>
      </w:pPr>
      <w:r w:rsidRPr="00050BE6">
        <w:rPr>
          <w:b/>
          <w:i/>
          <w:szCs w:val="20"/>
          <w:lang w:val="fr-FR"/>
        </w:rPr>
        <w:t>Le mandat de l’auditeur portera sur:</w:t>
      </w:r>
    </w:p>
    <w:p w:rsidR="0017409D" w:rsidRPr="00050BE6" w:rsidRDefault="0017409D" w:rsidP="0017409D">
      <w:pPr>
        <w:suppressAutoHyphens/>
        <w:spacing w:after="120" w:line="240" w:lineRule="auto"/>
        <w:jc w:val="both"/>
        <w:rPr>
          <w:rFonts w:ascii="Times New Roman" w:eastAsia="Times New Roman" w:hAnsi="Times New Roman"/>
          <w:b/>
          <w:i/>
          <w:sz w:val="24"/>
          <w:szCs w:val="20"/>
        </w:rPr>
      </w:pPr>
      <w:r w:rsidRPr="00050BE6">
        <w:rPr>
          <w:rFonts w:ascii="Times New Roman" w:eastAsia="Times New Roman" w:hAnsi="Times New Roman"/>
          <w:b/>
          <w:i/>
          <w:sz w:val="24"/>
          <w:szCs w:val="20"/>
        </w:rPr>
        <w:t>1°) Audit des états financiers :</w:t>
      </w:r>
    </w:p>
    <w:p w:rsidR="0017409D" w:rsidRPr="00050BE6" w:rsidRDefault="0017409D" w:rsidP="0017409D">
      <w:pPr>
        <w:suppressAutoHyphen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L'audit des états financiers des </w:t>
      </w:r>
      <w:r>
        <w:rPr>
          <w:rFonts w:ascii="Times New Roman" w:eastAsia="Times New Roman" w:hAnsi="Times New Roman"/>
          <w:sz w:val="24"/>
          <w:szCs w:val="20"/>
        </w:rPr>
        <w:t>trois</w:t>
      </w:r>
      <w:r w:rsidRPr="00050BE6">
        <w:rPr>
          <w:rFonts w:ascii="Times New Roman" w:eastAsia="Times New Roman" w:hAnsi="Times New Roman"/>
          <w:sz w:val="24"/>
          <w:szCs w:val="20"/>
        </w:rPr>
        <w:t xml:space="preserve"> exercices du projet</w:t>
      </w:r>
      <w:r>
        <w:rPr>
          <w:rFonts w:ascii="Times New Roman" w:eastAsia="Times New Roman" w:hAnsi="Times New Roman"/>
          <w:sz w:val="24"/>
          <w:szCs w:val="20"/>
        </w:rPr>
        <w:t xml:space="preserve"> </w:t>
      </w:r>
      <w:r w:rsidRPr="00050BE6">
        <w:rPr>
          <w:rFonts w:ascii="Times New Roman" w:eastAsia="Times New Roman" w:hAnsi="Times New Roman"/>
          <w:sz w:val="24"/>
          <w:szCs w:val="20"/>
        </w:rPr>
        <w:t>se fera conformément aux normes internationales d'audit (International Standards on Auditing - ISA) telles qu’édictées par la Fédération Internationale des Experts Comptables (IFAC) et donnera lieu à tous les tests, vérifications et contrôles que l'auditeur jugera nécessaires en la circonstance. Dans ce cadre l'auditeur retenu, s'assurera entre autre</w:t>
      </w:r>
      <w:r>
        <w:rPr>
          <w:rFonts w:ascii="Times New Roman" w:eastAsia="Times New Roman" w:hAnsi="Times New Roman"/>
          <w:sz w:val="24"/>
          <w:szCs w:val="20"/>
        </w:rPr>
        <w:t>s</w:t>
      </w:r>
      <w:r w:rsidRPr="00050BE6">
        <w:rPr>
          <w:rFonts w:ascii="Times New Roman" w:eastAsia="Times New Roman" w:hAnsi="Times New Roman"/>
          <w:sz w:val="24"/>
          <w:szCs w:val="20"/>
        </w:rPr>
        <w:t xml:space="preserve"> que :</w:t>
      </w:r>
    </w:p>
    <w:p w:rsidR="0017409D" w:rsidRPr="00050BE6" w:rsidRDefault="0017409D" w:rsidP="0017409D">
      <w:pPr>
        <w:suppressAutoHyphens/>
        <w:spacing w:after="0" w:line="240" w:lineRule="auto"/>
        <w:jc w:val="both"/>
        <w:rPr>
          <w:rFonts w:ascii="Times New Roman" w:eastAsia="Times New Roman" w:hAnsi="Times New Roman"/>
          <w:sz w:val="24"/>
          <w:szCs w:val="20"/>
        </w:rPr>
      </w:pPr>
    </w:p>
    <w:p w:rsidR="0017409D" w:rsidRPr="00050BE6" w:rsidRDefault="0017409D" w:rsidP="0017409D">
      <w:pPr>
        <w:numPr>
          <w:ilvl w:val="0"/>
          <w:numId w:val="29"/>
        </w:numPr>
        <w:suppressAutoHyphen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Toutes les ressources </w:t>
      </w:r>
      <w:r>
        <w:rPr>
          <w:rFonts w:ascii="Times New Roman" w:eastAsia="Times New Roman" w:hAnsi="Times New Roman"/>
          <w:sz w:val="24"/>
          <w:szCs w:val="20"/>
        </w:rPr>
        <w:t xml:space="preserve">mis à disposition dans le cadre du projet </w:t>
      </w:r>
      <w:r w:rsidRPr="00050BE6">
        <w:rPr>
          <w:rFonts w:ascii="Times New Roman" w:eastAsia="Times New Roman" w:hAnsi="Times New Roman"/>
          <w:sz w:val="24"/>
          <w:szCs w:val="20"/>
        </w:rPr>
        <w:t>ont été employées conformément aux dispositions des accords de crédit applicables, dans un souci d’économie et d’efficience, et uniquement aux fins pour lesquelles elles ont été fournies</w:t>
      </w:r>
      <w:r>
        <w:rPr>
          <w:rFonts w:ascii="Times New Roman" w:eastAsia="Times New Roman" w:hAnsi="Times New Roman"/>
          <w:sz w:val="24"/>
          <w:szCs w:val="20"/>
        </w:rPr>
        <w:t xml:space="preserve"> en s’assurant par exemple que l</w:t>
      </w:r>
      <w:r w:rsidRPr="00487B7D">
        <w:rPr>
          <w:rFonts w:ascii="Times New Roman" w:eastAsia="Times New Roman" w:hAnsi="Times New Roman"/>
          <w:sz w:val="24"/>
          <w:szCs w:val="20"/>
        </w:rPr>
        <w:t xml:space="preserve">’affectation des ressources aux activités, catégories de dépenses et composantes est respectée et </w:t>
      </w:r>
      <w:r>
        <w:rPr>
          <w:rFonts w:ascii="Times New Roman" w:eastAsia="Times New Roman" w:hAnsi="Times New Roman"/>
          <w:sz w:val="24"/>
          <w:szCs w:val="20"/>
        </w:rPr>
        <w:t xml:space="preserve">que </w:t>
      </w:r>
      <w:r w:rsidRPr="00487B7D">
        <w:rPr>
          <w:rFonts w:ascii="Times New Roman" w:eastAsia="Times New Roman" w:hAnsi="Times New Roman"/>
          <w:sz w:val="24"/>
          <w:szCs w:val="20"/>
        </w:rPr>
        <w:t>toute dérogation est justifiée</w:t>
      </w:r>
      <w:r>
        <w:rPr>
          <w:rFonts w:ascii="Times New Roman" w:eastAsia="Times New Roman" w:hAnsi="Times New Roman"/>
          <w:sz w:val="24"/>
          <w:szCs w:val="20"/>
        </w:rPr>
        <w:t>.</w:t>
      </w:r>
    </w:p>
    <w:p w:rsidR="0017409D" w:rsidRPr="00050BE6" w:rsidRDefault="0017409D" w:rsidP="0017409D">
      <w:pPr>
        <w:tabs>
          <w:tab w:val="left" w:pos="1068"/>
        </w:tabs>
        <w:suppressAutoHyphens/>
        <w:spacing w:after="0" w:line="240" w:lineRule="auto"/>
        <w:jc w:val="both"/>
        <w:rPr>
          <w:rFonts w:ascii="Times New Roman" w:eastAsia="Times New Roman" w:hAnsi="Times New Roman"/>
          <w:sz w:val="24"/>
          <w:szCs w:val="20"/>
        </w:rPr>
      </w:pPr>
    </w:p>
    <w:p w:rsidR="0017409D" w:rsidRPr="00487B7D" w:rsidRDefault="0017409D" w:rsidP="0017409D">
      <w:pPr>
        <w:numPr>
          <w:ilvl w:val="0"/>
          <w:numId w:val="29"/>
        </w:numPr>
        <w:suppressAutoHyphen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Les biens et services financés ont fait l’objet de marchés passés conformément aux dispositions des accords de financement applicables </w:t>
      </w:r>
      <w:r w:rsidRPr="00050BE6">
        <w:rPr>
          <w:rFonts w:ascii="Times New Roman" w:eastAsia="Times New Roman" w:hAnsi="Times New Roman"/>
          <w:bCs/>
          <w:sz w:val="24"/>
          <w:szCs w:val="20"/>
        </w:rPr>
        <w:t xml:space="preserve">fondés sur </w:t>
      </w:r>
      <w:r w:rsidRPr="00050BE6">
        <w:rPr>
          <w:rFonts w:ascii="Times New Roman" w:eastAsia="Times New Roman" w:hAnsi="Times New Roman"/>
          <w:bCs/>
          <w:sz w:val="24"/>
          <w:szCs w:val="20"/>
          <w:u w:val="single"/>
        </w:rPr>
        <w:t>les procédures de passation de marché de la Banque Mondiale</w:t>
      </w:r>
      <w:r w:rsidRPr="00050BE6">
        <w:rPr>
          <w:rFonts w:ascii="Times New Roman" w:eastAsia="Times New Roman" w:hAnsi="Times New Roman"/>
          <w:sz w:val="24"/>
          <w:szCs w:val="20"/>
          <w:vertAlign w:val="superscript"/>
        </w:rPr>
        <w:footnoteReference w:id="3"/>
      </w:r>
      <w:r w:rsidRPr="00050BE6">
        <w:rPr>
          <w:rFonts w:ascii="Times New Roman" w:eastAsia="Times New Roman" w:hAnsi="Times New Roman"/>
          <w:sz w:val="24"/>
          <w:szCs w:val="20"/>
        </w:rPr>
        <w:t>et ont été proprement enregistrés dans les livres comptables</w:t>
      </w:r>
      <w:r>
        <w:rPr>
          <w:rFonts w:ascii="Times New Roman" w:eastAsia="Times New Roman" w:hAnsi="Times New Roman"/>
          <w:sz w:val="24"/>
          <w:szCs w:val="20"/>
        </w:rPr>
        <w:t xml:space="preserve">. </w:t>
      </w:r>
      <w:r w:rsidRPr="00487B7D">
        <w:rPr>
          <w:rFonts w:ascii="Times New Roman" w:eastAsia="Times New Roman" w:hAnsi="Times New Roman"/>
          <w:sz w:val="24"/>
          <w:szCs w:val="20"/>
        </w:rPr>
        <w:t xml:space="preserve">Les contrôles sur la passation des marchés porteront entre autres sur  les documents de passation et d’exécution des contrats/ marchés : </w:t>
      </w:r>
    </w:p>
    <w:p w:rsidR="0017409D" w:rsidRPr="00487B7D" w:rsidRDefault="0017409D" w:rsidP="0017409D">
      <w:pPr>
        <w:numPr>
          <w:ilvl w:val="1"/>
          <w:numId w:val="36"/>
        </w:numPr>
        <w:tabs>
          <w:tab w:val="num" w:pos="1350"/>
        </w:tabs>
        <w:spacing w:after="120" w:line="240" w:lineRule="auto"/>
        <w:jc w:val="both"/>
        <w:rPr>
          <w:rFonts w:ascii="Times New Roman" w:hAnsi="Times New Roman"/>
          <w:bCs/>
          <w:sz w:val="24"/>
          <w:szCs w:val="24"/>
        </w:rPr>
      </w:pPr>
      <w:r w:rsidRPr="00487B7D">
        <w:rPr>
          <w:rFonts w:ascii="Times New Roman" w:hAnsi="Times New Roman"/>
          <w:bCs/>
          <w:sz w:val="24"/>
          <w:szCs w:val="24"/>
        </w:rPr>
        <w:t>l’existence de plans de passation des marchés approuvés et les preuves y afférent</w:t>
      </w:r>
    </w:p>
    <w:p w:rsidR="0017409D" w:rsidRPr="00487B7D" w:rsidRDefault="0017409D" w:rsidP="0017409D">
      <w:pPr>
        <w:numPr>
          <w:ilvl w:val="1"/>
          <w:numId w:val="36"/>
        </w:numPr>
        <w:tabs>
          <w:tab w:val="num" w:pos="1350"/>
        </w:tabs>
        <w:spacing w:after="120" w:line="240" w:lineRule="auto"/>
        <w:jc w:val="both"/>
        <w:rPr>
          <w:rFonts w:ascii="Times New Roman" w:hAnsi="Times New Roman"/>
          <w:bCs/>
          <w:sz w:val="24"/>
          <w:szCs w:val="24"/>
        </w:rPr>
      </w:pPr>
      <w:r w:rsidRPr="00487B7D">
        <w:rPr>
          <w:rFonts w:ascii="Times New Roman" w:hAnsi="Times New Roman"/>
          <w:sz w:val="24"/>
          <w:szCs w:val="24"/>
        </w:rPr>
        <w:t xml:space="preserve">les rapports de manifestation d’intérêt, les termes de référence, les lettres d’invitation pour les consultants individuels, les demandes de propositions, et les dossiers d’appel d’offres, les propositions/ offres des soumissionnaires, les rapports de comparaison de CV/ d’évaluation des propositions/ d’évaluation des offres, les projets des contrats et les PV de négociations et les contrats/ marchés signés, </w:t>
      </w:r>
    </w:p>
    <w:p w:rsidR="0017409D" w:rsidRPr="00487B7D" w:rsidRDefault="0017409D" w:rsidP="0017409D">
      <w:pPr>
        <w:numPr>
          <w:ilvl w:val="1"/>
          <w:numId w:val="36"/>
        </w:numPr>
        <w:tabs>
          <w:tab w:val="num" w:pos="1350"/>
        </w:tabs>
        <w:spacing w:after="120" w:line="240" w:lineRule="auto"/>
        <w:jc w:val="both"/>
        <w:rPr>
          <w:rFonts w:ascii="Times New Roman" w:hAnsi="Times New Roman"/>
          <w:bCs/>
          <w:sz w:val="24"/>
          <w:szCs w:val="24"/>
        </w:rPr>
      </w:pPr>
      <w:r w:rsidRPr="00487B7D">
        <w:rPr>
          <w:rFonts w:ascii="Times New Roman" w:hAnsi="Times New Roman"/>
          <w:sz w:val="24"/>
          <w:szCs w:val="24"/>
        </w:rPr>
        <w:t xml:space="preserve">l’approbation par les personnes autorisées aux différentes étapes du processus de passation des marchés, </w:t>
      </w:r>
    </w:p>
    <w:p w:rsidR="0017409D" w:rsidRPr="00487B7D" w:rsidRDefault="0017409D" w:rsidP="0017409D">
      <w:pPr>
        <w:numPr>
          <w:ilvl w:val="1"/>
          <w:numId w:val="36"/>
        </w:numPr>
        <w:tabs>
          <w:tab w:val="num" w:pos="1350"/>
        </w:tabs>
        <w:spacing w:after="120" w:line="240" w:lineRule="auto"/>
        <w:jc w:val="both"/>
        <w:rPr>
          <w:rFonts w:ascii="Times New Roman" w:hAnsi="Times New Roman"/>
          <w:bCs/>
          <w:sz w:val="24"/>
          <w:szCs w:val="24"/>
        </w:rPr>
      </w:pPr>
      <w:r w:rsidRPr="00487B7D">
        <w:rPr>
          <w:rFonts w:ascii="Times New Roman" w:hAnsi="Times New Roman"/>
          <w:sz w:val="24"/>
          <w:szCs w:val="24"/>
        </w:rPr>
        <w:t>le respect des méthodes de passations approuvées dans le plan de passation de marché et les méthodes utilisées pour les contrats signés</w:t>
      </w:r>
      <w:r w:rsidRPr="00487B7D" w:rsidDel="0051326A">
        <w:rPr>
          <w:rFonts w:ascii="Times New Roman" w:hAnsi="Times New Roman"/>
          <w:sz w:val="24"/>
          <w:szCs w:val="24"/>
        </w:rPr>
        <w:t xml:space="preserve"> </w:t>
      </w:r>
    </w:p>
    <w:p w:rsidR="0017409D" w:rsidRPr="00487B7D" w:rsidRDefault="0017409D" w:rsidP="0017409D">
      <w:pPr>
        <w:numPr>
          <w:ilvl w:val="1"/>
          <w:numId w:val="36"/>
        </w:numPr>
        <w:tabs>
          <w:tab w:val="num" w:pos="1350"/>
        </w:tabs>
        <w:spacing w:after="120" w:line="240" w:lineRule="auto"/>
        <w:jc w:val="both"/>
        <w:rPr>
          <w:rFonts w:ascii="Times New Roman" w:hAnsi="Times New Roman"/>
          <w:bCs/>
          <w:sz w:val="24"/>
          <w:szCs w:val="24"/>
        </w:rPr>
      </w:pPr>
      <w:r w:rsidRPr="00487B7D">
        <w:rPr>
          <w:rFonts w:ascii="Times New Roman" w:hAnsi="Times New Roman"/>
          <w:sz w:val="24"/>
          <w:szCs w:val="24"/>
        </w:rPr>
        <w:t>les rapports déposés par les consultants, les attestations des services faits, les PV de réception des fournitures/ travaux.</w:t>
      </w:r>
    </w:p>
    <w:p w:rsidR="0017409D" w:rsidRPr="00050BE6" w:rsidRDefault="0017409D" w:rsidP="0017409D">
      <w:pPr>
        <w:tabs>
          <w:tab w:val="left" w:pos="1068"/>
        </w:tabs>
        <w:spacing w:after="0" w:line="240" w:lineRule="auto"/>
        <w:ind w:left="644"/>
        <w:jc w:val="both"/>
        <w:rPr>
          <w:rFonts w:ascii="Times New Roman" w:eastAsia="Times New Roman" w:hAnsi="Times New Roman"/>
          <w:sz w:val="24"/>
          <w:szCs w:val="20"/>
        </w:rPr>
      </w:pPr>
    </w:p>
    <w:p w:rsidR="0017409D" w:rsidRPr="00050BE6" w:rsidRDefault="0017409D" w:rsidP="0017409D">
      <w:pPr>
        <w:numPr>
          <w:ilvl w:val="0"/>
          <w:numId w:val="29"/>
        </w:numPr>
        <w:tabs>
          <w:tab w:val="left" w:pos="1068"/>
        </w:tab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Tous les dossiers, comptes et écritures nécessaires ont été tenus au titre des différentes opérations relatives au Projet. Il devrait exister des relations de correspondance évidentes entre le livre des comptes et les rapports présentés aux bailleurs de fonds,</w:t>
      </w:r>
    </w:p>
    <w:p w:rsidR="0017409D" w:rsidRPr="00050BE6" w:rsidRDefault="0017409D" w:rsidP="0017409D">
      <w:pPr>
        <w:tabs>
          <w:tab w:val="left" w:pos="1068"/>
        </w:tabs>
        <w:suppressAutoHyphens/>
        <w:spacing w:after="120" w:line="240" w:lineRule="auto"/>
        <w:ind w:left="360"/>
        <w:jc w:val="both"/>
        <w:rPr>
          <w:rFonts w:ascii="Times New Roman" w:eastAsia="Times New Roman" w:hAnsi="Times New Roman"/>
          <w:sz w:val="24"/>
          <w:szCs w:val="20"/>
        </w:rPr>
      </w:pPr>
    </w:p>
    <w:p w:rsidR="0017409D" w:rsidRPr="00050BE6" w:rsidRDefault="0017409D" w:rsidP="0017409D">
      <w:pPr>
        <w:numPr>
          <w:ilvl w:val="0"/>
          <w:numId w:val="29"/>
        </w:numPr>
        <w:tabs>
          <w:tab w:val="left" w:pos="1068"/>
        </w:tab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lastRenderedPageBreak/>
        <w:t>L’état de rapprochement entre les montants sous la rubrique « Fonds reçus des bailleurs de fonds du Projet » et les montants encaissés au titre des décaissements des bailleurs de fonds ont été correctement préparés et présentés en annexe aux états financiers du projet. Cet état de rapprochement devrait indiquer le mode de décaissement (Avance sur Compte spécial, réapprovisionnements par relevés de dépenses, paiements directs, etc.),</w:t>
      </w:r>
    </w:p>
    <w:p w:rsidR="0017409D" w:rsidRPr="00050BE6" w:rsidRDefault="0017409D" w:rsidP="0017409D">
      <w:pPr>
        <w:tabs>
          <w:tab w:val="left" w:pos="1068"/>
        </w:tabs>
        <w:suppressAutoHyphens/>
        <w:spacing w:after="120" w:line="240" w:lineRule="auto"/>
        <w:ind w:left="360"/>
        <w:jc w:val="both"/>
        <w:rPr>
          <w:rFonts w:ascii="Times New Roman" w:eastAsia="Times New Roman" w:hAnsi="Times New Roman"/>
          <w:sz w:val="24"/>
          <w:szCs w:val="20"/>
        </w:rPr>
      </w:pPr>
    </w:p>
    <w:p w:rsidR="0017409D" w:rsidRPr="00050BE6" w:rsidRDefault="0017409D" w:rsidP="0017409D">
      <w:pPr>
        <w:numPr>
          <w:ilvl w:val="0"/>
          <w:numId w:val="29"/>
        </w:numPr>
        <w:tabs>
          <w:tab w:val="left" w:pos="1068"/>
        </w:tab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Les comptes du Projet ont été préparés sur la base de l’application systématique des normes comptables en vigueur, et donnent une image fidèle de la situation financière du Projet à la fin de chaque exercice, ainsi que des ressources reçues et des dépenses effectuées au cours de l’exercice clos à cette date,</w:t>
      </w:r>
    </w:p>
    <w:p w:rsidR="0017409D" w:rsidRPr="00050BE6" w:rsidRDefault="0017409D" w:rsidP="0017409D">
      <w:pPr>
        <w:spacing w:after="0" w:line="240" w:lineRule="auto"/>
        <w:ind w:left="708"/>
        <w:rPr>
          <w:rFonts w:ascii="Times New Roman" w:eastAsia="Times New Roman" w:hAnsi="Times New Roman"/>
          <w:sz w:val="24"/>
          <w:szCs w:val="20"/>
        </w:rPr>
      </w:pPr>
    </w:p>
    <w:p w:rsidR="0017409D" w:rsidRPr="00050BE6" w:rsidRDefault="0017409D" w:rsidP="0017409D">
      <w:pPr>
        <w:numPr>
          <w:ilvl w:val="0"/>
          <w:numId w:val="29"/>
        </w:numPr>
        <w:spacing w:after="0" w:line="240" w:lineRule="auto"/>
        <w:jc w:val="both"/>
        <w:rPr>
          <w:rFonts w:ascii="Times New Roman" w:eastAsia="Times New Roman" w:hAnsi="Times New Roman"/>
          <w:bCs/>
          <w:sz w:val="24"/>
          <w:szCs w:val="20"/>
        </w:rPr>
      </w:pPr>
      <w:r w:rsidRPr="00050BE6">
        <w:rPr>
          <w:rFonts w:ascii="Times New Roman" w:eastAsia="Times New Roman" w:hAnsi="Times New Roman"/>
          <w:bCs/>
          <w:sz w:val="24"/>
          <w:szCs w:val="20"/>
        </w:rPr>
        <w:t>La performance financière globale du Projet est satisfaisante ;</w:t>
      </w:r>
    </w:p>
    <w:p w:rsidR="0017409D" w:rsidRPr="00050BE6" w:rsidRDefault="0017409D" w:rsidP="0017409D">
      <w:pPr>
        <w:spacing w:after="0" w:line="240" w:lineRule="auto"/>
        <w:jc w:val="both"/>
        <w:rPr>
          <w:rFonts w:ascii="Times New Roman" w:eastAsia="Times New Roman" w:hAnsi="Times New Roman"/>
          <w:bCs/>
          <w:sz w:val="24"/>
          <w:szCs w:val="20"/>
        </w:rPr>
      </w:pPr>
    </w:p>
    <w:p w:rsidR="0017409D" w:rsidRPr="00050BE6" w:rsidRDefault="0017409D" w:rsidP="0017409D">
      <w:pPr>
        <w:numPr>
          <w:ilvl w:val="0"/>
          <w:numId w:val="29"/>
        </w:numPr>
        <w:spacing w:after="0" w:line="240" w:lineRule="auto"/>
        <w:jc w:val="both"/>
        <w:rPr>
          <w:rFonts w:ascii="Times New Roman" w:eastAsia="Times New Roman" w:hAnsi="Times New Roman"/>
          <w:bCs/>
          <w:sz w:val="24"/>
          <w:szCs w:val="20"/>
        </w:rPr>
      </w:pPr>
      <w:r w:rsidRPr="00050BE6">
        <w:rPr>
          <w:rFonts w:ascii="Times New Roman" w:eastAsia="Times New Roman" w:hAnsi="Times New Roman"/>
          <w:bCs/>
          <w:sz w:val="24"/>
          <w:szCs w:val="20"/>
        </w:rPr>
        <w:t>Les actifs immobilisés du Projet sont réels et correctement évalués et le droit de propriété du Projet ou des bénéficiaires sur ces actifs est établi en conformité avec l’accord de financement ;</w:t>
      </w:r>
    </w:p>
    <w:p w:rsidR="0017409D" w:rsidRPr="00050BE6" w:rsidRDefault="0017409D" w:rsidP="0017409D">
      <w:pPr>
        <w:spacing w:after="0" w:line="240" w:lineRule="auto"/>
        <w:jc w:val="both"/>
        <w:rPr>
          <w:rFonts w:ascii="Times New Roman" w:eastAsia="Times New Roman" w:hAnsi="Times New Roman"/>
          <w:bCs/>
          <w:sz w:val="24"/>
          <w:szCs w:val="20"/>
        </w:rPr>
      </w:pPr>
    </w:p>
    <w:p w:rsidR="0017409D" w:rsidRDefault="0017409D" w:rsidP="0017409D">
      <w:pPr>
        <w:numPr>
          <w:ilvl w:val="0"/>
          <w:numId w:val="29"/>
        </w:numPr>
        <w:spacing w:after="0" w:line="240" w:lineRule="auto"/>
        <w:jc w:val="both"/>
        <w:rPr>
          <w:rFonts w:ascii="Times New Roman" w:eastAsia="Times New Roman" w:hAnsi="Times New Roman"/>
          <w:bCs/>
          <w:sz w:val="24"/>
          <w:szCs w:val="20"/>
        </w:rPr>
      </w:pPr>
      <w:r w:rsidRPr="00050BE6">
        <w:rPr>
          <w:rFonts w:ascii="Times New Roman" w:eastAsia="Times New Roman" w:hAnsi="Times New Roman"/>
          <w:bCs/>
          <w:sz w:val="24"/>
          <w:szCs w:val="20"/>
        </w:rPr>
        <w:t>Les dépenses inéligibles dans les demandes de remboursement de fonds identifiées lors de l’audit ont été remboursées aux Comptes Désignés. Ces dépenses feront l’objet d’une note séparée dans le rapport d’audit.</w:t>
      </w:r>
    </w:p>
    <w:p w:rsidR="0017409D" w:rsidRPr="00487B7D" w:rsidRDefault="0017409D" w:rsidP="0017409D">
      <w:pPr>
        <w:pStyle w:val="Paragraphedeliste"/>
        <w:rPr>
          <w:bCs/>
          <w:szCs w:val="20"/>
          <w:lang w:val="fr-CI"/>
        </w:rPr>
      </w:pPr>
    </w:p>
    <w:p w:rsidR="0017409D" w:rsidRPr="00487B7D" w:rsidRDefault="0017409D" w:rsidP="0017409D">
      <w:pPr>
        <w:numPr>
          <w:ilvl w:val="0"/>
          <w:numId w:val="29"/>
        </w:numPr>
        <w:spacing w:after="200" w:line="276" w:lineRule="auto"/>
        <w:jc w:val="both"/>
        <w:rPr>
          <w:rFonts w:ascii="Times New Roman" w:hAnsi="Times New Roman"/>
          <w:bCs/>
          <w:sz w:val="24"/>
          <w:szCs w:val="24"/>
        </w:rPr>
      </w:pPr>
      <w:r w:rsidRPr="00487B7D">
        <w:rPr>
          <w:rFonts w:ascii="Times New Roman" w:hAnsi="Times New Roman"/>
          <w:sz w:val="24"/>
          <w:szCs w:val="24"/>
        </w:rPr>
        <w:t xml:space="preserve">Les recettes de ventes des dossiers d’appels d’offres – DAO ainsi que les intérêts </w:t>
      </w:r>
      <w:r w:rsidRPr="00487B7D">
        <w:rPr>
          <w:rFonts w:ascii="Times New Roman" w:hAnsi="Times New Roman"/>
          <w:bCs/>
          <w:sz w:val="24"/>
          <w:szCs w:val="24"/>
        </w:rPr>
        <w:t>créditeurs</w:t>
      </w:r>
      <w:r w:rsidRPr="00487B7D">
        <w:rPr>
          <w:rFonts w:ascii="Times New Roman" w:hAnsi="Times New Roman"/>
          <w:sz w:val="24"/>
          <w:szCs w:val="24"/>
        </w:rPr>
        <w:t xml:space="preserve"> des comptes bancaires sont correctement comptabilisés dans les livres du programme et reflétés dans les états financiers annuels </w:t>
      </w:r>
      <w:r>
        <w:rPr>
          <w:rFonts w:ascii="Times New Roman" w:hAnsi="Times New Roman"/>
          <w:sz w:val="24"/>
          <w:szCs w:val="24"/>
        </w:rPr>
        <w:t xml:space="preserve"> et leur utilisation est faite en conformité avec les dispositions y afférentes édictées dans le manuel des procédures.</w:t>
      </w:r>
    </w:p>
    <w:p w:rsidR="0017409D" w:rsidRPr="00487B7D" w:rsidRDefault="0017409D" w:rsidP="0017409D">
      <w:pPr>
        <w:numPr>
          <w:ilvl w:val="0"/>
          <w:numId w:val="29"/>
        </w:numPr>
        <w:spacing w:after="200" w:line="276" w:lineRule="auto"/>
        <w:jc w:val="both"/>
        <w:rPr>
          <w:rFonts w:ascii="Times New Roman" w:hAnsi="Times New Roman"/>
          <w:bCs/>
          <w:sz w:val="24"/>
          <w:szCs w:val="24"/>
        </w:rPr>
      </w:pPr>
      <w:r w:rsidRPr="00487B7D">
        <w:rPr>
          <w:rFonts w:ascii="Times New Roman" w:hAnsi="Times New Roman"/>
          <w:sz w:val="24"/>
          <w:szCs w:val="24"/>
        </w:rPr>
        <w:t>Les obligations en matière du projet en matière de reporting financier périodique, d’audit interne, d’audit externe, de passation de marché</w:t>
      </w:r>
      <w:r>
        <w:rPr>
          <w:rFonts w:ascii="Times New Roman" w:hAnsi="Times New Roman"/>
          <w:sz w:val="24"/>
          <w:szCs w:val="24"/>
        </w:rPr>
        <w:t>s</w:t>
      </w:r>
      <w:r w:rsidRPr="00487B7D">
        <w:rPr>
          <w:rFonts w:ascii="Times New Roman" w:hAnsi="Times New Roman"/>
          <w:sz w:val="24"/>
          <w:szCs w:val="24"/>
        </w:rPr>
        <w:t xml:space="preserve"> (respect des procédures : mise à jour périodique et approbation du plan de passation de marché par l’IDA, publicité, …), de planification et budgétisation et de la tenue des réunions du Comité pilotage ou de l’instance en tenant lieu ;</w:t>
      </w:r>
    </w:p>
    <w:p w:rsidR="0017409D" w:rsidRPr="00487B7D" w:rsidRDefault="0017409D" w:rsidP="0017409D">
      <w:pPr>
        <w:numPr>
          <w:ilvl w:val="0"/>
          <w:numId w:val="29"/>
        </w:numPr>
        <w:spacing w:after="200" w:line="276" w:lineRule="auto"/>
        <w:jc w:val="both"/>
        <w:rPr>
          <w:rFonts w:ascii="Times New Roman" w:hAnsi="Times New Roman"/>
          <w:bCs/>
          <w:sz w:val="24"/>
          <w:szCs w:val="24"/>
        </w:rPr>
      </w:pPr>
      <w:r w:rsidRPr="00487B7D">
        <w:rPr>
          <w:rFonts w:ascii="Times New Roman" w:hAnsi="Times New Roman"/>
          <w:sz w:val="24"/>
          <w:szCs w:val="24"/>
        </w:rPr>
        <w:t xml:space="preserve">Toutes les </w:t>
      </w:r>
      <w:r w:rsidRPr="00487B7D">
        <w:rPr>
          <w:rFonts w:ascii="Times New Roman" w:hAnsi="Times New Roman"/>
          <w:sz w:val="24"/>
          <w:szCs w:val="24"/>
          <w:lang w:eastAsia="zh-CN"/>
        </w:rPr>
        <w:t>dispositions</w:t>
      </w:r>
      <w:r w:rsidRPr="00487B7D">
        <w:rPr>
          <w:rFonts w:ascii="Times New Roman" w:hAnsi="Times New Roman"/>
          <w:sz w:val="24"/>
          <w:szCs w:val="24"/>
        </w:rPr>
        <w:t xml:space="preserve"> juridiques et fiscales ont été respectées, en matière d’impôt et taxes </w:t>
      </w:r>
      <w:r w:rsidRPr="00487B7D">
        <w:rPr>
          <w:rFonts w:ascii="Times New Roman" w:hAnsi="Times New Roman"/>
          <w:sz w:val="24"/>
          <w:szCs w:val="24"/>
          <w:lang w:eastAsia="zh-CN"/>
        </w:rPr>
        <w:t xml:space="preserve">et droits de douanes </w:t>
      </w:r>
      <w:r w:rsidRPr="00487B7D">
        <w:rPr>
          <w:rFonts w:ascii="Times New Roman" w:hAnsi="Times New Roman"/>
          <w:sz w:val="24"/>
          <w:szCs w:val="24"/>
        </w:rPr>
        <w:t>applicables au projet</w:t>
      </w:r>
      <w:r w:rsidRPr="00487B7D">
        <w:rPr>
          <w:rFonts w:ascii="Times New Roman" w:hAnsi="Times New Roman"/>
          <w:sz w:val="24"/>
          <w:szCs w:val="24"/>
          <w:lang w:eastAsia="zh-CN"/>
        </w:rPr>
        <w:t>, le traitement fiscal applicable aux rémunérations versées au personnel contractuel et aux consultants du projet</w:t>
      </w:r>
    </w:p>
    <w:p w:rsidR="0017409D" w:rsidRPr="00050BE6" w:rsidRDefault="0017409D" w:rsidP="0017409D">
      <w:pPr>
        <w:spacing w:after="0" w:line="240" w:lineRule="auto"/>
        <w:ind w:left="708"/>
        <w:rPr>
          <w:rFonts w:ascii="Times New Roman" w:eastAsia="Times New Roman" w:hAnsi="Times New Roman"/>
          <w:bCs/>
          <w:sz w:val="24"/>
          <w:szCs w:val="20"/>
        </w:rPr>
      </w:pPr>
    </w:p>
    <w:p w:rsidR="0017409D" w:rsidRPr="00050BE6" w:rsidRDefault="0017409D" w:rsidP="0017409D">
      <w:pPr>
        <w:autoSpaceDE w:val="0"/>
        <w:autoSpaceDN w:val="0"/>
        <w:adjustRightInd w:val="0"/>
        <w:spacing w:after="0" w:line="240" w:lineRule="auto"/>
        <w:rPr>
          <w:rFonts w:ascii="Times New Roman" w:eastAsia="Times New Roman" w:hAnsi="Times New Roman"/>
          <w:sz w:val="24"/>
          <w:szCs w:val="20"/>
        </w:rPr>
      </w:pPr>
      <w:r w:rsidRPr="00050BE6">
        <w:rPr>
          <w:rFonts w:ascii="Times New Roman" w:eastAsia="Times New Roman" w:hAnsi="Times New Roman"/>
          <w:sz w:val="24"/>
          <w:szCs w:val="20"/>
        </w:rPr>
        <w:t>En conformité avec les normes de l’IFAC, l’auditeur devra accorder une attention particulière aux points suivants:</w:t>
      </w:r>
    </w:p>
    <w:p w:rsidR="0017409D" w:rsidRPr="00050BE6" w:rsidRDefault="0017409D" w:rsidP="0017409D">
      <w:pPr>
        <w:tabs>
          <w:tab w:val="left" w:pos="720"/>
        </w:tabs>
        <w:autoSpaceDE w:val="0"/>
        <w:autoSpaceDN w:val="0"/>
        <w:adjustRightInd w:val="0"/>
        <w:spacing w:after="0" w:line="240" w:lineRule="auto"/>
        <w:ind w:left="720"/>
        <w:jc w:val="both"/>
        <w:rPr>
          <w:rFonts w:ascii="Times New Roman" w:eastAsia="Times New Roman" w:hAnsi="Times New Roman"/>
          <w:bCs/>
          <w:sz w:val="24"/>
          <w:szCs w:val="20"/>
        </w:rPr>
      </w:pPr>
    </w:p>
    <w:p w:rsidR="0017409D" w:rsidRPr="00050BE6" w:rsidRDefault="0017409D" w:rsidP="0017409D">
      <w:pPr>
        <w:spacing w:after="0" w:line="240" w:lineRule="auto"/>
        <w:jc w:val="both"/>
        <w:rPr>
          <w:rFonts w:ascii="Times New Roman" w:eastAsia="Times New Roman" w:hAnsi="Times New Roman"/>
          <w:bCs/>
          <w:sz w:val="24"/>
          <w:szCs w:val="20"/>
        </w:rPr>
      </w:pPr>
      <w:r w:rsidRPr="00050BE6">
        <w:rPr>
          <w:rFonts w:ascii="Times New Roman" w:eastAsia="Times New Roman" w:hAnsi="Times New Roman"/>
          <w:b/>
          <w:bCs/>
          <w:i/>
          <w:sz w:val="24"/>
          <w:szCs w:val="20"/>
        </w:rPr>
        <w:t>a) Fraude et Corruption</w:t>
      </w:r>
      <w:r w:rsidRPr="00050BE6">
        <w:rPr>
          <w:rFonts w:ascii="Times New Roman" w:eastAsia="Times New Roman" w:hAnsi="Times New Roman"/>
          <w:bCs/>
          <w:sz w:val="24"/>
          <w:szCs w:val="20"/>
        </w:rPr>
        <w:t xml:space="preserve"> : Conformément à la norme </w:t>
      </w:r>
      <w:r w:rsidRPr="00050BE6">
        <w:rPr>
          <w:rFonts w:ascii="Times New Roman" w:eastAsia="Times New Roman" w:hAnsi="Times New Roman"/>
          <w:b/>
          <w:bCs/>
          <w:sz w:val="24"/>
          <w:szCs w:val="20"/>
          <w:u w:val="single"/>
        </w:rPr>
        <w:t>ISA 240 (Prise en compte du risque de fraude et d’erreur lors de l’audit des comptes)</w:t>
      </w:r>
      <w:r w:rsidRPr="00050BE6">
        <w:rPr>
          <w:rFonts w:ascii="Times New Roman" w:eastAsia="Times New Roman" w:hAnsi="Times New Roman"/>
          <w:bCs/>
          <w:sz w:val="24"/>
          <w:szCs w:val="20"/>
        </w:rPr>
        <w:t>, l’auditeur devra identifier et évaluer les risques de fraude, obtenir ou fournir des preuves d’audit suffisantes d’analyse de ces risques et traiter de manière appropriée les fraudes identifiées ou suspectées.</w:t>
      </w:r>
    </w:p>
    <w:p w:rsidR="0017409D" w:rsidRPr="00050BE6" w:rsidRDefault="0017409D" w:rsidP="0017409D">
      <w:pPr>
        <w:spacing w:after="0" w:line="240" w:lineRule="auto"/>
        <w:jc w:val="both"/>
        <w:rPr>
          <w:rFonts w:ascii="Times New Roman" w:eastAsia="Times New Roman" w:hAnsi="Times New Roman"/>
          <w:bCs/>
          <w:sz w:val="24"/>
          <w:szCs w:val="20"/>
        </w:rPr>
      </w:pPr>
    </w:p>
    <w:p w:rsidR="0017409D" w:rsidRPr="00050BE6" w:rsidRDefault="0017409D" w:rsidP="0017409D">
      <w:pPr>
        <w:spacing w:after="0" w:line="240" w:lineRule="auto"/>
        <w:jc w:val="both"/>
        <w:rPr>
          <w:rFonts w:ascii="Times New Roman" w:eastAsia="Times New Roman" w:hAnsi="Times New Roman"/>
          <w:bCs/>
          <w:sz w:val="24"/>
          <w:szCs w:val="20"/>
        </w:rPr>
      </w:pPr>
      <w:r w:rsidRPr="00050BE6">
        <w:rPr>
          <w:rFonts w:ascii="Times New Roman" w:eastAsia="Times New Roman" w:hAnsi="Times New Roman"/>
          <w:b/>
          <w:bCs/>
          <w:i/>
          <w:sz w:val="24"/>
          <w:szCs w:val="20"/>
        </w:rPr>
        <w:t>b) Lois et Règlements</w:t>
      </w:r>
      <w:r w:rsidRPr="00050BE6">
        <w:rPr>
          <w:rFonts w:ascii="Times New Roman" w:eastAsia="Times New Roman" w:hAnsi="Times New Roman"/>
          <w:bCs/>
          <w:sz w:val="24"/>
          <w:szCs w:val="20"/>
        </w:rPr>
        <w:t xml:space="preserve"> : En élaborant l’approche d’audit et en exécutant les procédures d’audit, l’auditeur devra évaluer la conformité des Unités de Coordination des Projets avec les lois et les règlements qui pourraient affecter significativement les états financiers comme </w:t>
      </w:r>
      <w:r w:rsidRPr="00050BE6">
        <w:rPr>
          <w:rFonts w:ascii="Times New Roman" w:eastAsia="Times New Roman" w:hAnsi="Times New Roman"/>
          <w:bCs/>
          <w:sz w:val="24"/>
          <w:szCs w:val="20"/>
        </w:rPr>
        <w:lastRenderedPageBreak/>
        <w:t xml:space="preserve">requis par la norme </w:t>
      </w:r>
      <w:r w:rsidRPr="00050BE6">
        <w:rPr>
          <w:rFonts w:ascii="Times New Roman" w:eastAsia="Times New Roman" w:hAnsi="Times New Roman"/>
          <w:b/>
          <w:bCs/>
          <w:sz w:val="24"/>
          <w:szCs w:val="20"/>
          <w:u w:val="single"/>
        </w:rPr>
        <w:t>ISA 250 (Prise en compte du risque d’anomalies dans les comptes résultant du non-respect des textes légaux et réglementaires</w:t>
      </w:r>
      <w:r w:rsidRPr="00050BE6">
        <w:rPr>
          <w:rFonts w:ascii="Times New Roman" w:eastAsia="Times New Roman" w:hAnsi="Times New Roman"/>
          <w:b/>
          <w:bCs/>
          <w:sz w:val="24"/>
          <w:szCs w:val="20"/>
        </w:rPr>
        <w:t>)</w:t>
      </w:r>
      <w:r w:rsidRPr="00050BE6">
        <w:rPr>
          <w:rFonts w:ascii="Times New Roman" w:eastAsia="Times New Roman" w:hAnsi="Times New Roman"/>
          <w:bCs/>
          <w:sz w:val="24"/>
          <w:szCs w:val="20"/>
        </w:rPr>
        <w:t>.</w:t>
      </w:r>
    </w:p>
    <w:p w:rsidR="0017409D" w:rsidRPr="00050BE6" w:rsidRDefault="0017409D" w:rsidP="0017409D">
      <w:pPr>
        <w:spacing w:after="0" w:line="240" w:lineRule="auto"/>
        <w:jc w:val="both"/>
        <w:rPr>
          <w:rFonts w:ascii="Times New Roman" w:eastAsia="Times New Roman" w:hAnsi="Times New Roman"/>
          <w:bCs/>
          <w:sz w:val="24"/>
          <w:szCs w:val="20"/>
        </w:rPr>
      </w:pPr>
    </w:p>
    <w:p w:rsidR="0017409D" w:rsidRPr="00050BE6" w:rsidRDefault="0017409D" w:rsidP="0017409D">
      <w:pPr>
        <w:spacing w:after="0" w:line="240" w:lineRule="auto"/>
        <w:jc w:val="both"/>
        <w:rPr>
          <w:rFonts w:ascii="Times New Roman" w:eastAsia="Times New Roman" w:hAnsi="Times New Roman"/>
          <w:bCs/>
          <w:sz w:val="24"/>
          <w:szCs w:val="20"/>
        </w:rPr>
      </w:pPr>
      <w:r w:rsidRPr="00050BE6">
        <w:rPr>
          <w:rFonts w:ascii="Times New Roman" w:eastAsia="Times New Roman" w:hAnsi="Times New Roman"/>
          <w:b/>
          <w:bCs/>
          <w:i/>
          <w:sz w:val="24"/>
          <w:szCs w:val="20"/>
        </w:rPr>
        <w:t>c) Gouvernance </w:t>
      </w:r>
      <w:r w:rsidRPr="00050BE6">
        <w:rPr>
          <w:rFonts w:ascii="Times New Roman" w:eastAsia="Times New Roman" w:hAnsi="Times New Roman"/>
          <w:bCs/>
          <w:sz w:val="24"/>
          <w:szCs w:val="20"/>
        </w:rPr>
        <w:t xml:space="preserve">: La communication avec les responsables du Projet en charge de la Gouvernance des points d’audit significatifs en conformité avec la norme </w:t>
      </w:r>
      <w:r w:rsidRPr="00050BE6">
        <w:rPr>
          <w:rFonts w:ascii="Times New Roman" w:eastAsia="Times New Roman" w:hAnsi="Times New Roman"/>
          <w:b/>
          <w:bCs/>
          <w:sz w:val="24"/>
          <w:szCs w:val="20"/>
          <w:u w:val="single"/>
        </w:rPr>
        <w:t>ISA 260 (Communication sur la mission avec les personnes en charge de la Gouvernance)</w:t>
      </w:r>
      <w:r w:rsidRPr="00050BE6">
        <w:rPr>
          <w:rFonts w:ascii="Times New Roman" w:eastAsia="Times New Roman" w:hAnsi="Times New Roman"/>
          <w:bCs/>
          <w:sz w:val="24"/>
          <w:szCs w:val="20"/>
        </w:rPr>
        <w:t>.</w:t>
      </w:r>
    </w:p>
    <w:p w:rsidR="0017409D" w:rsidRPr="00050BE6" w:rsidRDefault="0017409D" w:rsidP="0017409D">
      <w:pPr>
        <w:spacing w:after="0" w:line="240" w:lineRule="auto"/>
        <w:jc w:val="both"/>
        <w:rPr>
          <w:rFonts w:ascii="Times New Roman" w:eastAsia="Times New Roman" w:hAnsi="Times New Roman"/>
          <w:bCs/>
          <w:sz w:val="24"/>
          <w:szCs w:val="20"/>
        </w:rPr>
      </w:pPr>
    </w:p>
    <w:p w:rsidR="0017409D" w:rsidRPr="00050BE6" w:rsidRDefault="0017409D" w:rsidP="0017409D">
      <w:pPr>
        <w:spacing w:after="0" w:line="240" w:lineRule="auto"/>
        <w:jc w:val="both"/>
        <w:rPr>
          <w:rFonts w:ascii="Times New Roman" w:eastAsia="Times New Roman" w:hAnsi="Times New Roman"/>
          <w:bCs/>
          <w:sz w:val="24"/>
          <w:szCs w:val="20"/>
        </w:rPr>
      </w:pPr>
      <w:r w:rsidRPr="00050BE6">
        <w:rPr>
          <w:rFonts w:ascii="Times New Roman" w:eastAsia="Times New Roman" w:hAnsi="Times New Roman"/>
          <w:b/>
          <w:bCs/>
          <w:i/>
          <w:sz w:val="24"/>
          <w:szCs w:val="20"/>
        </w:rPr>
        <w:t>d) Risques </w:t>
      </w:r>
      <w:r w:rsidRPr="00050BE6">
        <w:rPr>
          <w:rFonts w:ascii="Times New Roman" w:eastAsia="Times New Roman" w:hAnsi="Times New Roman"/>
          <w:bCs/>
          <w:sz w:val="24"/>
          <w:szCs w:val="20"/>
        </w:rPr>
        <w:t xml:space="preserve">: Dans l’objectif de réduire les risques d’audit à un niveau relativement faible, l’auditeur mettra en œuvre les procédures d’audit appropriées en réponse aux risques d’anomalies identifiés à l’issue de son évaluation. Cela en conformité avec la norme </w:t>
      </w:r>
      <w:r w:rsidRPr="00050BE6">
        <w:rPr>
          <w:rFonts w:ascii="Times New Roman" w:eastAsia="Times New Roman" w:hAnsi="Times New Roman"/>
          <w:b/>
          <w:bCs/>
          <w:sz w:val="24"/>
          <w:szCs w:val="20"/>
          <w:u w:val="single"/>
        </w:rPr>
        <w:t>ISA 330 (Procédures d’audit mises en œuvre par l’auditeur à l’issue de son évaluation des risques)</w:t>
      </w:r>
      <w:r w:rsidRPr="00050BE6">
        <w:rPr>
          <w:rFonts w:ascii="Times New Roman" w:eastAsia="Times New Roman" w:hAnsi="Times New Roman"/>
          <w:bCs/>
          <w:sz w:val="24"/>
          <w:szCs w:val="20"/>
        </w:rPr>
        <w:t>.</w:t>
      </w:r>
    </w:p>
    <w:p w:rsidR="0017409D" w:rsidRPr="00050BE6" w:rsidRDefault="0017409D" w:rsidP="0017409D">
      <w:pPr>
        <w:spacing w:after="0" w:line="240" w:lineRule="auto"/>
        <w:ind w:left="720"/>
        <w:jc w:val="both"/>
        <w:rPr>
          <w:rFonts w:ascii="Times New Roman" w:eastAsia="Times New Roman" w:hAnsi="Times New Roman"/>
          <w:bCs/>
          <w:sz w:val="24"/>
          <w:szCs w:val="20"/>
        </w:rPr>
      </w:pPr>
    </w:p>
    <w:p w:rsidR="0017409D" w:rsidRPr="00050BE6" w:rsidRDefault="0017409D" w:rsidP="0017409D">
      <w:pPr>
        <w:tabs>
          <w:tab w:val="left" w:pos="720"/>
        </w:tabs>
        <w:autoSpaceDE w:val="0"/>
        <w:autoSpaceDN w:val="0"/>
        <w:adjustRightInd w:val="0"/>
        <w:spacing w:after="0" w:line="240" w:lineRule="auto"/>
        <w:jc w:val="both"/>
        <w:rPr>
          <w:rFonts w:ascii="Times New Roman" w:eastAsia="Times New Roman" w:hAnsi="Times New Roman"/>
          <w:b/>
          <w:bCs/>
          <w:sz w:val="24"/>
          <w:szCs w:val="20"/>
        </w:rPr>
      </w:pPr>
      <w:r w:rsidRPr="00050BE6">
        <w:rPr>
          <w:rFonts w:ascii="Times New Roman" w:eastAsia="Times New Roman" w:hAnsi="Times New Roman"/>
          <w:b/>
          <w:sz w:val="24"/>
          <w:szCs w:val="20"/>
        </w:rPr>
        <w:t>ETATS FINANCIERS DU PROJET</w:t>
      </w:r>
    </w:p>
    <w:p w:rsidR="0017409D" w:rsidRPr="00050BE6" w:rsidRDefault="0017409D" w:rsidP="0017409D">
      <w:pPr>
        <w:tabs>
          <w:tab w:val="left" w:pos="720"/>
        </w:tabs>
        <w:autoSpaceDE w:val="0"/>
        <w:autoSpaceDN w:val="0"/>
        <w:adjustRightInd w:val="0"/>
        <w:spacing w:after="0" w:line="240" w:lineRule="auto"/>
        <w:jc w:val="both"/>
        <w:rPr>
          <w:rFonts w:ascii="Times New Roman" w:eastAsia="Times New Roman" w:hAnsi="Times New Roman"/>
          <w:b/>
          <w:bCs/>
          <w:sz w:val="24"/>
          <w:szCs w:val="20"/>
        </w:rPr>
      </w:pPr>
    </w:p>
    <w:p w:rsidR="0017409D" w:rsidRPr="00050BE6" w:rsidRDefault="0017409D" w:rsidP="0017409D">
      <w:pPr>
        <w:tabs>
          <w:tab w:val="left" w:pos="720"/>
        </w:tabs>
        <w:autoSpaceDE w:val="0"/>
        <w:autoSpaceDN w:val="0"/>
        <w:adjustRightInd w:val="0"/>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L’auditeur vérifiera que les états financiers du projet ont été préparés en accord avec les principes comptables admis (Cf. paragraphe 3 ci-dessus) et donnent une image fidèle de la situation financière du Projet à la date de clôture des exercices ainsi que les ressources et les dépenses à cette date.</w:t>
      </w:r>
    </w:p>
    <w:p w:rsidR="0017409D" w:rsidRPr="00050BE6" w:rsidRDefault="0017409D" w:rsidP="0017409D">
      <w:pPr>
        <w:spacing w:after="0" w:line="240" w:lineRule="auto"/>
        <w:ind w:left="720"/>
        <w:jc w:val="both"/>
        <w:rPr>
          <w:rFonts w:ascii="Times New Roman" w:eastAsia="Times New Roman" w:hAnsi="Times New Roman"/>
          <w:bCs/>
          <w:sz w:val="24"/>
          <w:szCs w:val="20"/>
        </w:rPr>
      </w:pPr>
    </w:p>
    <w:p w:rsidR="0017409D" w:rsidRPr="00050BE6" w:rsidRDefault="0017409D" w:rsidP="0017409D">
      <w:pPr>
        <w:spacing w:after="0" w:line="240" w:lineRule="auto"/>
        <w:jc w:val="both"/>
        <w:rPr>
          <w:rFonts w:ascii="Times New Roman" w:eastAsia="Times New Roman" w:hAnsi="Times New Roman"/>
          <w:bCs/>
          <w:sz w:val="24"/>
          <w:szCs w:val="20"/>
        </w:rPr>
      </w:pPr>
      <w:r>
        <w:rPr>
          <w:rFonts w:ascii="Times New Roman" w:eastAsia="Times New Roman" w:hAnsi="Times New Roman"/>
          <w:bCs/>
          <w:sz w:val="24"/>
          <w:szCs w:val="20"/>
        </w:rPr>
        <w:t>En plus du compte de résultat et du bilan, l</w:t>
      </w:r>
      <w:r w:rsidRPr="00050BE6">
        <w:rPr>
          <w:rFonts w:ascii="Times New Roman" w:eastAsia="Times New Roman" w:hAnsi="Times New Roman"/>
          <w:bCs/>
          <w:sz w:val="24"/>
          <w:szCs w:val="20"/>
        </w:rPr>
        <w:t>es états financiers du Projet devraient comprendre :</w:t>
      </w:r>
    </w:p>
    <w:p w:rsidR="0017409D" w:rsidRPr="00050BE6" w:rsidRDefault="0017409D" w:rsidP="0017409D">
      <w:pPr>
        <w:spacing w:after="0" w:line="240" w:lineRule="auto"/>
        <w:ind w:left="720"/>
        <w:jc w:val="both"/>
        <w:rPr>
          <w:rFonts w:ascii="Times New Roman" w:eastAsia="Times New Roman" w:hAnsi="Times New Roman"/>
          <w:bCs/>
          <w:sz w:val="24"/>
          <w:szCs w:val="20"/>
        </w:rPr>
      </w:pPr>
    </w:p>
    <w:p w:rsidR="0017409D" w:rsidRPr="00050BE6" w:rsidRDefault="0017409D" w:rsidP="0017409D">
      <w:pPr>
        <w:numPr>
          <w:ilvl w:val="0"/>
          <w:numId w:val="34"/>
        </w:numPr>
        <w:tabs>
          <w:tab w:val="left" w:pos="709"/>
        </w:tab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Un état des ressources (fonds reçus de l’IDA) et emplois (dépenses engagées au cours de l’exercice considéré par source de financement, composantes, grandes rubriques et catégories),</w:t>
      </w:r>
    </w:p>
    <w:p w:rsidR="0017409D" w:rsidRPr="00050BE6" w:rsidRDefault="0017409D" w:rsidP="0017409D">
      <w:pPr>
        <w:numPr>
          <w:ilvl w:val="0"/>
          <w:numId w:val="34"/>
        </w:numPr>
        <w:tabs>
          <w:tab w:val="left" w:pos="709"/>
        </w:tab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Une situation patrimoniale indiquant les fonds cumulés du projet, les soldes bancaires, les autres actifs du projet et les engagements, le cas échéant; </w:t>
      </w:r>
    </w:p>
    <w:p w:rsidR="0017409D" w:rsidRPr="00050BE6" w:rsidRDefault="0017409D" w:rsidP="0017409D">
      <w:pPr>
        <w:numPr>
          <w:ilvl w:val="0"/>
          <w:numId w:val="34"/>
        </w:numPr>
        <w:tabs>
          <w:tab w:val="left" w:pos="709"/>
        </w:tabs>
        <w:spacing w:after="0" w:line="240" w:lineRule="auto"/>
        <w:jc w:val="both"/>
        <w:rPr>
          <w:rFonts w:ascii="Times New Roman" w:eastAsia="Times New Roman" w:hAnsi="Times New Roman"/>
          <w:sz w:val="24"/>
          <w:szCs w:val="20"/>
        </w:rPr>
      </w:pPr>
      <w:r w:rsidRPr="00050BE6">
        <w:rPr>
          <w:rFonts w:ascii="Times New Roman" w:eastAsia="Times New Roman" w:hAnsi="Times New Roman"/>
          <w:bCs/>
          <w:sz w:val="24"/>
          <w:szCs w:val="20"/>
        </w:rPr>
        <w:t>Un état des transactions de chaque compte désigné (Etat récapitulatif des dépenses) ;</w:t>
      </w:r>
    </w:p>
    <w:p w:rsidR="0017409D" w:rsidRPr="00050BE6" w:rsidRDefault="0017409D" w:rsidP="0017409D">
      <w:pPr>
        <w:numPr>
          <w:ilvl w:val="0"/>
          <w:numId w:val="34"/>
        </w:numPr>
        <w:tabs>
          <w:tab w:val="left" w:pos="709"/>
        </w:tab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les notes sur les états financiers reprenant les principes comptables utilisés et présentant une analyse détaillée et expliquée des principaux comptes,</w:t>
      </w:r>
    </w:p>
    <w:p w:rsidR="0017409D" w:rsidRPr="00050BE6" w:rsidRDefault="0017409D" w:rsidP="0017409D">
      <w:pPr>
        <w:numPr>
          <w:ilvl w:val="0"/>
          <w:numId w:val="34"/>
        </w:numPr>
        <w:tabs>
          <w:tab w:val="left" w:pos="709"/>
        </w:tab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La liste des actifs immobilisés acquis ou achetés par les fonds du Projet.</w:t>
      </w:r>
    </w:p>
    <w:p w:rsidR="0017409D" w:rsidRPr="00050BE6" w:rsidRDefault="0017409D" w:rsidP="0017409D">
      <w:pPr>
        <w:tabs>
          <w:tab w:val="left" w:pos="720"/>
        </w:tabs>
        <w:autoSpaceDE w:val="0"/>
        <w:autoSpaceDN w:val="0"/>
        <w:adjustRightInd w:val="0"/>
        <w:spacing w:after="0" w:line="240" w:lineRule="auto"/>
        <w:ind w:left="720"/>
        <w:jc w:val="both"/>
        <w:rPr>
          <w:rFonts w:ascii="Times New Roman" w:eastAsia="Times New Roman" w:hAnsi="Times New Roman"/>
          <w:bCs/>
          <w:sz w:val="24"/>
          <w:szCs w:val="20"/>
        </w:rPr>
      </w:pPr>
    </w:p>
    <w:p w:rsidR="0017409D" w:rsidRPr="00050BE6" w:rsidRDefault="0017409D" w:rsidP="0017409D">
      <w:pPr>
        <w:tabs>
          <w:tab w:val="left" w:pos="720"/>
        </w:tabs>
        <w:autoSpaceDE w:val="0"/>
        <w:autoSpaceDN w:val="0"/>
        <w:adjustRightInd w:val="0"/>
        <w:spacing w:after="0" w:line="240" w:lineRule="auto"/>
        <w:jc w:val="both"/>
        <w:rPr>
          <w:rFonts w:ascii="Times New Roman" w:eastAsia="Times New Roman" w:hAnsi="Times New Roman"/>
          <w:bCs/>
          <w:sz w:val="24"/>
          <w:szCs w:val="20"/>
        </w:rPr>
      </w:pPr>
      <w:r w:rsidRPr="00050BE6">
        <w:rPr>
          <w:rFonts w:ascii="Times New Roman" w:eastAsia="Times New Roman" w:hAnsi="Times New Roman"/>
          <w:bCs/>
          <w:sz w:val="24"/>
          <w:szCs w:val="20"/>
        </w:rPr>
        <w:t>L’auditeur devra présenter en annexe aux états financiers, une réconciliation des fonds reçus par le Projet en provenance de la Banque mondiale d’une part, et les fonds décaissés par la Banque mondiale d’autre part.</w:t>
      </w:r>
    </w:p>
    <w:p w:rsidR="0017409D" w:rsidRPr="00050BE6" w:rsidRDefault="0017409D" w:rsidP="0017409D">
      <w:pPr>
        <w:tabs>
          <w:tab w:val="left" w:pos="1068"/>
        </w:tabs>
        <w:suppressAutoHyphens/>
        <w:spacing w:after="0" w:line="240" w:lineRule="auto"/>
        <w:ind w:left="360"/>
        <w:jc w:val="both"/>
        <w:rPr>
          <w:rFonts w:ascii="Times New Roman" w:eastAsia="Times New Roman" w:hAnsi="Times New Roman"/>
          <w:sz w:val="24"/>
          <w:szCs w:val="20"/>
        </w:rPr>
      </w:pPr>
    </w:p>
    <w:p w:rsidR="0017409D" w:rsidRPr="00050BE6" w:rsidRDefault="0017409D" w:rsidP="0017409D">
      <w:pPr>
        <w:tabs>
          <w:tab w:val="left" w:pos="1068"/>
        </w:tabs>
        <w:suppressAutoHyphens/>
        <w:spacing w:after="120" w:line="240" w:lineRule="auto"/>
        <w:jc w:val="both"/>
        <w:rPr>
          <w:rFonts w:ascii="Times New Roman" w:eastAsia="Times New Roman" w:hAnsi="Times New Roman"/>
          <w:b/>
          <w:i/>
          <w:sz w:val="24"/>
          <w:szCs w:val="20"/>
        </w:rPr>
      </w:pPr>
      <w:r w:rsidRPr="00050BE6">
        <w:rPr>
          <w:rFonts w:ascii="Times New Roman" w:eastAsia="Times New Roman" w:hAnsi="Times New Roman"/>
          <w:b/>
          <w:i/>
          <w:sz w:val="24"/>
          <w:szCs w:val="20"/>
        </w:rPr>
        <w:t xml:space="preserve">2°) </w:t>
      </w:r>
      <w:r>
        <w:rPr>
          <w:rFonts w:ascii="Times New Roman" w:eastAsia="Times New Roman" w:hAnsi="Times New Roman"/>
          <w:b/>
          <w:i/>
          <w:sz w:val="24"/>
          <w:szCs w:val="20"/>
        </w:rPr>
        <w:t xml:space="preserve">Le </w:t>
      </w:r>
      <w:r w:rsidRPr="00050BE6">
        <w:rPr>
          <w:rFonts w:ascii="Times New Roman" w:eastAsia="Times New Roman" w:hAnsi="Times New Roman"/>
          <w:b/>
          <w:i/>
          <w:sz w:val="24"/>
          <w:szCs w:val="20"/>
        </w:rPr>
        <w:t>Relevé des Dépenses :</w:t>
      </w:r>
    </w:p>
    <w:p w:rsidR="0017409D" w:rsidRPr="00050BE6" w:rsidRDefault="0017409D" w:rsidP="0017409D">
      <w:pPr>
        <w:tabs>
          <w:tab w:val="left" w:pos="1068"/>
        </w:tabs>
        <w:suppressAutoHyphens/>
        <w:spacing w:after="120" w:line="240" w:lineRule="auto"/>
        <w:jc w:val="both"/>
        <w:rPr>
          <w:rFonts w:ascii="Times New Roman" w:eastAsia="Times New Roman" w:hAnsi="Times New Roman"/>
          <w:strike/>
          <w:sz w:val="24"/>
          <w:szCs w:val="20"/>
        </w:rPr>
      </w:pPr>
      <w:r w:rsidRPr="00050BE6">
        <w:rPr>
          <w:rFonts w:ascii="Times New Roman" w:eastAsia="Times New Roman" w:hAnsi="Times New Roman"/>
          <w:sz w:val="24"/>
          <w:szCs w:val="20"/>
        </w:rPr>
        <w:t>L’auditeur est tenu de vérifier, outre les états financiers du programme, tous les relevés de dépenses présentés</w:t>
      </w:r>
      <w:r>
        <w:rPr>
          <w:rFonts w:ascii="Times New Roman" w:eastAsia="Times New Roman" w:hAnsi="Times New Roman"/>
          <w:sz w:val="24"/>
          <w:szCs w:val="20"/>
        </w:rPr>
        <w:t xml:space="preserve"> afin </w:t>
      </w:r>
      <w:r w:rsidRPr="00050BE6">
        <w:rPr>
          <w:rFonts w:ascii="Times New Roman" w:eastAsia="Times New Roman" w:hAnsi="Times New Roman"/>
          <w:sz w:val="24"/>
          <w:szCs w:val="20"/>
        </w:rPr>
        <w:t>de s’assurer que les fonds du Projet ont été dûment utilisés pour les fins auxquelles ils sont destinés avec le souci d’économie et d’efficienc</w:t>
      </w:r>
      <w:r>
        <w:rPr>
          <w:rFonts w:ascii="Times New Roman" w:eastAsia="Times New Roman" w:hAnsi="Times New Roman"/>
          <w:sz w:val="24"/>
          <w:szCs w:val="20"/>
        </w:rPr>
        <w:t>e</w:t>
      </w:r>
      <w:r w:rsidRPr="00050BE6">
        <w:rPr>
          <w:rFonts w:ascii="Times New Roman" w:eastAsia="Times New Roman" w:hAnsi="Times New Roman"/>
          <w:sz w:val="24"/>
          <w:szCs w:val="20"/>
        </w:rPr>
        <w:t>. Il doit procéder à tous les contrôles et vérifications qu’il juge nécessaires en la circonstance et s’assurer surtout que les procédures de contrôle interne en place pour l’utilisation des états certifiés de dépenses sont adéquates et fiables</w:t>
      </w:r>
      <w:r w:rsidR="006D33B1">
        <w:rPr>
          <w:rFonts w:ascii="Times New Roman" w:eastAsia="Times New Roman" w:hAnsi="Times New Roman"/>
          <w:sz w:val="24"/>
          <w:szCs w:val="20"/>
        </w:rPr>
        <w:t xml:space="preserve">. </w:t>
      </w:r>
    </w:p>
    <w:p w:rsidR="0017409D" w:rsidRPr="00050BE6" w:rsidRDefault="0017409D" w:rsidP="0017409D">
      <w:pPr>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Il devra examiner avec soin 100 % des dépenses </w:t>
      </w:r>
      <w:r w:rsidRPr="00487B7D">
        <w:rPr>
          <w:rFonts w:ascii="Times New Roman" w:eastAsia="Times New Roman" w:hAnsi="Times New Roman"/>
          <w:sz w:val="24"/>
          <w:szCs w:val="20"/>
        </w:rPr>
        <w:t>non soumises à revue a priori de la Banque</w:t>
      </w:r>
      <w:r w:rsidRPr="00050BE6">
        <w:rPr>
          <w:rFonts w:ascii="Times New Roman" w:eastAsia="Times New Roman" w:hAnsi="Times New Roman"/>
          <w:sz w:val="24"/>
          <w:szCs w:val="20"/>
        </w:rPr>
        <w:t xml:space="preserve"> </w:t>
      </w:r>
      <w:r w:rsidRPr="00487B7D">
        <w:rPr>
          <w:rFonts w:ascii="Times New Roman" w:eastAsia="Times New Roman" w:hAnsi="Times New Roman"/>
          <w:sz w:val="24"/>
          <w:szCs w:val="20"/>
        </w:rPr>
        <w:t>et pour ce qui concerne les dépenses soumises à revue a priori, l’auditeur pourra conduire sa revue sur la base d’un échantillon représentatif. Il devra dans le cadre de cette revue</w:t>
      </w:r>
      <w:r w:rsidRPr="00050BE6">
        <w:rPr>
          <w:rFonts w:ascii="Times New Roman" w:eastAsia="Times New Roman" w:hAnsi="Times New Roman"/>
          <w:sz w:val="24"/>
          <w:szCs w:val="20"/>
        </w:rPr>
        <w:t xml:space="preserve"> déterminer si : i) elles sont admissibles au regard des accords de financement ; et ii) elles sont raisonnables au regard des activités de mise en œuvre du projet ; ceci permettra à l’auditeur de donner son appréciation sur le niveau des dépenses par rapport au programme de travail.</w:t>
      </w:r>
      <w:r>
        <w:rPr>
          <w:rFonts w:ascii="Times New Roman" w:eastAsia="Times New Roman" w:hAnsi="Times New Roman"/>
          <w:sz w:val="24"/>
          <w:szCs w:val="20"/>
        </w:rPr>
        <w:t xml:space="preserve"> </w:t>
      </w:r>
    </w:p>
    <w:p w:rsidR="0017409D" w:rsidRPr="00050BE6" w:rsidRDefault="0017409D" w:rsidP="0017409D">
      <w:pPr>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lastRenderedPageBreak/>
        <w:t>Lorsqu’il est établi que des dépenses non admissibles ont été incluses dans des dépenses à rembourser, l’auditeur devra l’indiquer. Une liste des différentes demandes de retrait de fonds sur présentation de relevés de dépenses en spécifiant le numéro de référence et le montant correspondant accompagnera le rapport d’opinion de l’auditeur sur les états financiers. Le montant total des retraits effectués au vu de relevés de dépenses devrait correspondre à celui figurant sur l’état de rapprochement global des décaissements des bailleurs de fonds décrit précédemment.</w:t>
      </w:r>
    </w:p>
    <w:p w:rsidR="0017409D" w:rsidRPr="00050BE6" w:rsidRDefault="0017409D" w:rsidP="0017409D">
      <w:pPr>
        <w:spacing w:after="0" w:line="240" w:lineRule="auto"/>
        <w:ind w:firstLine="705"/>
        <w:jc w:val="both"/>
        <w:rPr>
          <w:rFonts w:ascii="Times New Roman" w:eastAsia="Times New Roman" w:hAnsi="Times New Roman"/>
          <w:sz w:val="24"/>
          <w:szCs w:val="20"/>
        </w:rPr>
      </w:pPr>
    </w:p>
    <w:p w:rsidR="0017409D" w:rsidRPr="00050BE6" w:rsidRDefault="0017409D" w:rsidP="0017409D">
      <w:pPr>
        <w:spacing w:after="0" w:line="240" w:lineRule="auto"/>
        <w:jc w:val="both"/>
        <w:rPr>
          <w:rFonts w:ascii="Times New Roman" w:eastAsia="Times New Roman" w:hAnsi="Times New Roman"/>
          <w:sz w:val="24"/>
          <w:szCs w:val="20"/>
        </w:rPr>
      </w:pPr>
    </w:p>
    <w:p w:rsidR="0017409D" w:rsidRPr="00050BE6" w:rsidRDefault="0017409D" w:rsidP="0017409D">
      <w:pPr>
        <w:spacing w:after="0" w:line="240" w:lineRule="auto"/>
        <w:jc w:val="both"/>
        <w:rPr>
          <w:rFonts w:ascii="Times New Roman" w:eastAsia="Times New Roman" w:hAnsi="Times New Roman"/>
          <w:b/>
          <w:bCs/>
          <w:i/>
          <w:iCs/>
          <w:sz w:val="24"/>
          <w:szCs w:val="20"/>
        </w:rPr>
      </w:pPr>
      <w:r w:rsidRPr="00050BE6">
        <w:rPr>
          <w:rFonts w:ascii="Times New Roman" w:eastAsia="Times New Roman" w:hAnsi="Times New Roman"/>
          <w:b/>
          <w:bCs/>
          <w:i/>
          <w:iCs/>
          <w:sz w:val="24"/>
          <w:szCs w:val="20"/>
        </w:rPr>
        <w:t xml:space="preserve">3°) Le Compte </w:t>
      </w:r>
      <w:r>
        <w:rPr>
          <w:rFonts w:ascii="Times New Roman" w:eastAsia="Times New Roman" w:hAnsi="Times New Roman"/>
          <w:b/>
          <w:bCs/>
          <w:i/>
          <w:iCs/>
          <w:sz w:val="24"/>
          <w:szCs w:val="20"/>
        </w:rPr>
        <w:t>Désigné</w:t>
      </w:r>
    </w:p>
    <w:p w:rsidR="0017409D" w:rsidRPr="00050BE6" w:rsidRDefault="0017409D" w:rsidP="0017409D">
      <w:pPr>
        <w:spacing w:after="0" w:line="240" w:lineRule="auto"/>
        <w:jc w:val="both"/>
        <w:rPr>
          <w:rFonts w:ascii="Times New Roman" w:eastAsia="Times New Roman" w:hAnsi="Times New Roman"/>
          <w:b/>
          <w:bCs/>
          <w:i/>
          <w:iCs/>
          <w:sz w:val="24"/>
          <w:szCs w:val="20"/>
        </w:rPr>
      </w:pPr>
    </w:p>
    <w:p w:rsidR="0017409D" w:rsidRPr="00050BE6" w:rsidRDefault="0017409D" w:rsidP="0017409D">
      <w:pPr>
        <w:spacing w:after="0" w:line="240" w:lineRule="auto"/>
        <w:jc w:val="both"/>
        <w:rPr>
          <w:rFonts w:ascii="Times New Roman" w:eastAsia="Times New Roman" w:hAnsi="Times New Roman"/>
          <w:strike/>
          <w:sz w:val="24"/>
          <w:szCs w:val="20"/>
        </w:rPr>
      </w:pPr>
      <w:r w:rsidRPr="00050BE6">
        <w:rPr>
          <w:rFonts w:ascii="Times New Roman" w:eastAsia="Times New Roman" w:hAnsi="Times New Roman"/>
          <w:sz w:val="24"/>
          <w:szCs w:val="20"/>
        </w:rPr>
        <w:t>L'auditeur est tenu de vérifier les mouvements de fonds sur le</w:t>
      </w:r>
      <w:r w:rsidR="00391649">
        <w:rPr>
          <w:rFonts w:ascii="Times New Roman" w:eastAsia="Times New Roman" w:hAnsi="Times New Roman"/>
          <w:sz w:val="24"/>
          <w:szCs w:val="20"/>
        </w:rPr>
        <w:t>s</w:t>
      </w:r>
      <w:r w:rsidRPr="00050BE6">
        <w:rPr>
          <w:rFonts w:ascii="Times New Roman" w:eastAsia="Times New Roman" w:hAnsi="Times New Roman"/>
          <w:sz w:val="24"/>
          <w:szCs w:val="20"/>
        </w:rPr>
        <w:t xml:space="preserve"> Compte</w:t>
      </w:r>
      <w:r w:rsidR="00391649">
        <w:rPr>
          <w:rFonts w:ascii="Times New Roman" w:eastAsia="Times New Roman" w:hAnsi="Times New Roman"/>
          <w:sz w:val="24"/>
          <w:szCs w:val="20"/>
        </w:rPr>
        <w:t>s</w:t>
      </w:r>
      <w:r w:rsidRPr="00050BE6">
        <w:rPr>
          <w:rFonts w:ascii="Times New Roman" w:eastAsia="Times New Roman" w:hAnsi="Times New Roman"/>
          <w:sz w:val="24"/>
          <w:szCs w:val="20"/>
        </w:rPr>
        <w:t xml:space="preserve"> </w:t>
      </w:r>
      <w:r>
        <w:rPr>
          <w:rFonts w:ascii="Times New Roman" w:eastAsia="Times New Roman" w:hAnsi="Times New Roman"/>
          <w:sz w:val="24"/>
          <w:szCs w:val="20"/>
        </w:rPr>
        <w:t>désigné</w:t>
      </w:r>
      <w:r w:rsidR="00391649">
        <w:rPr>
          <w:rFonts w:ascii="Times New Roman" w:eastAsia="Times New Roman" w:hAnsi="Times New Roman"/>
          <w:sz w:val="24"/>
          <w:szCs w:val="20"/>
        </w:rPr>
        <w:t>s</w:t>
      </w:r>
      <w:r>
        <w:rPr>
          <w:rFonts w:ascii="Times New Roman" w:eastAsia="Times New Roman" w:hAnsi="Times New Roman"/>
          <w:sz w:val="24"/>
          <w:szCs w:val="20"/>
        </w:rPr>
        <w:t xml:space="preserve"> du</w:t>
      </w:r>
      <w:r w:rsidRPr="00050BE6">
        <w:rPr>
          <w:rFonts w:ascii="Times New Roman" w:eastAsia="Times New Roman" w:hAnsi="Times New Roman"/>
          <w:sz w:val="24"/>
          <w:szCs w:val="20"/>
        </w:rPr>
        <w:t xml:space="preserve"> Projet sur la base des états de rapprochement. </w:t>
      </w:r>
    </w:p>
    <w:p w:rsidR="0017409D" w:rsidRDefault="0017409D" w:rsidP="0017409D">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Ces mouvements incluent normalement :</w:t>
      </w:r>
    </w:p>
    <w:p w:rsidR="0017409D" w:rsidRPr="000A1DE9" w:rsidRDefault="0017409D" w:rsidP="0017409D">
      <w:pPr>
        <w:pStyle w:val="Paragraphedeliste"/>
        <w:numPr>
          <w:ilvl w:val="0"/>
          <w:numId w:val="35"/>
        </w:numPr>
        <w:spacing w:after="200" w:line="276" w:lineRule="auto"/>
        <w:ind w:left="1068"/>
        <w:jc w:val="both"/>
        <w:rPr>
          <w:lang w:val="fr-CI"/>
        </w:rPr>
      </w:pPr>
      <w:r w:rsidRPr="000A1DE9">
        <w:rPr>
          <w:lang w:val="fr-CI"/>
        </w:rPr>
        <w:t>Les avances et les reconstitutions du compte opéré par la Banque ;</w:t>
      </w:r>
    </w:p>
    <w:p w:rsidR="0017409D" w:rsidRPr="00F01D19" w:rsidRDefault="0017409D" w:rsidP="0017409D">
      <w:pPr>
        <w:pStyle w:val="Paragraphedeliste"/>
        <w:numPr>
          <w:ilvl w:val="0"/>
          <w:numId w:val="35"/>
        </w:numPr>
        <w:spacing w:after="200" w:line="276" w:lineRule="auto"/>
        <w:ind w:left="1068"/>
        <w:jc w:val="both"/>
        <w:rPr>
          <w:lang w:val="fr-CI"/>
        </w:rPr>
      </w:pPr>
      <w:r w:rsidRPr="000A1DE9">
        <w:rPr>
          <w:lang w:val="fr-CI"/>
        </w:rPr>
        <w:t xml:space="preserve">Les intérêts </w:t>
      </w:r>
      <w:r w:rsidRPr="003263FE">
        <w:rPr>
          <w:lang w:val="x-none"/>
        </w:rPr>
        <w:t>éventuellement générés</w:t>
      </w:r>
      <w:r w:rsidRPr="00F01D19">
        <w:rPr>
          <w:lang w:val="fr-CI"/>
        </w:rPr>
        <w:t xml:space="preserve"> et qui reviennent à l’emprunteur mais qui doivent être utilisés selon les dispositions du manuel des procédures ;</w:t>
      </w:r>
    </w:p>
    <w:p w:rsidR="0017409D" w:rsidRPr="00F01D19" w:rsidRDefault="0017409D" w:rsidP="0017409D">
      <w:pPr>
        <w:pStyle w:val="Paragraphedeliste"/>
        <w:numPr>
          <w:ilvl w:val="0"/>
          <w:numId w:val="35"/>
        </w:numPr>
        <w:spacing w:after="200" w:line="276" w:lineRule="auto"/>
        <w:ind w:left="1068"/>
        <w:jc w:val="both"/>
        <w:rPr>
          <w:lang w:val="fr-CI"/>
        </w:rPr>
      </w:pPr>
      <w:r w:rsidRPr="003263FE">
        <w:rPr>
          <w:lang w:val="x-none"/>
        </w:rPr>
        <w:t>Les retraits relatifs aux dépenses du Projet</w:t>
      </w:r>
      <w:r w:rsidRPr="00F01D19">
        <w:rPr>
          <w:lang w:val="fr-CI"/>
        </w:rPr>
        <w:t xml:space="preserve"> </w:t>
      </w:r>
    </w:p>
    <w:p w:rsidR="0017409D" w:rsidRPr="00F01D19" w:rsidRDefault="0017409D" w:rsidP="0017409D">
      <w:pPr>
        <w:pStyle w:val="Paragraphedeliste"/>
        <w:numPr>
          <w:ilvl w:val="0"/>
          <w:numId w:val="35"/>
        </w:numPr>
        <w:spacing w:after="200" w:line="276" w:lineRule="auto"/>
        <w:ind w:left="1068"/>
        <w:jc w:val="both"/>
        <w:rPr>
          <w:lang w:val="fr-CI"/>
        </w:rPr>
      </w:pPr>
      <w:r w:rsidRPr="00F01D19">
        <w:rPr>
          <w:lang w:val="fr-CI"/>
        </w:rPr>
        <w:t>Les soldes de la fin de l’exercice.</w:t>
      </w:r>
    </w:p>
    <w:p w:rsidR="0017409D" w:rsidRPr="00F01D19" w:rsidRDefault="0017409D" w:rsidP="0017409D">
      <w:pPr>
        <w:spacing w:after="0" w:line="240" w:lineRule="auto"/>
        <w:jc w:val="both"/>
        <w:rPr>
          <w:rFonts w:ascii="Times New Roman" w:eastAsia="Times New Roman" w:hAnsi="Times New Roman"/>
          <w:sz w:val="24"/>
          <w:szCs w:val="20"/>
        </w:rPr>
      </w:pPr>
      <w:r w:rsidRPr="00F01D19">
        <w:rPr>
          <w:rFonts w:ascii="Times New Roman" w:eastAsia="Times New Roman" w:hAnsi="Times New Roman"/>
          <w:sz w:val="24"/>
          <w:szCs w:val="20"/>
        </w:rPr>
        <w:t>L’auditeur accordera une attention particulière à la conformité des soldes d</w:t>
      </w:r>
      <w:r w:rsidR="00391649">
        <w:rPr>
          <w:rFonts w:ascii="Times New Roman" w:eastAsia="Times New Roman" w:hAnsi="Times New Roman"/>
          <w:sz w:val="24"/>
          <w:szCs w:val="20"/>
        </w:rPr>
        <w:t>es</w:t>
      </w:r>
      <w:r w:rsidRPr="00F01D19">
        <w:rPr>
          <w:rFonts w:ascii="Times New Roman" w:eastAsia="Times New Roman" w:hAnsi="Times New Roman"/>
          <w:sz w:val="24"/>
          <w:szCs w:val="20"/>
        </w:rPr>
        <w:t xml:space="preserve"> Compte</w:t>
      </w:r>
      <w:r w:rsidR="00391649">
        <w:rPr>
          <w:rFonts w:ascii="Times New Roman" w:eastAsia="Times New Roman" w:hAnsi="Times New Roman"/>
          <w:sz w:val="24"/>
          <w:szCs w:val="20"/>
        </w:rPr>
        <w:t>s</w:t>
      </w:r>
      <w:r w:rsidRPr="00F01D19">
        <w:rPr>
          <w:rFonts w:ascii="Times New Roman" w:eastAsia="Times New Roman" w:hAnsi="Times New Roman"/>
          <w:sz w:val="24"/>
          <w:szCs w:val="20"/>
        </w:rPr>
        <w:t xml:space="preserve"> Désigné</w:t>
      </w:r>
      <w:r w:rsidR="00391649">
        <w:rPr>
          <w:rFonts w:ascii="Times New Roman" w:eastAsia="Times New Roman" w:hAnsi="Times New Roman"/>
          <w:sz w:val="24"/>
          <w:szCs w:val="20"/>
        </w:rPr>
        <w:t>s</w:t>
      </w:r>
      <w:r w:rsidRPr="00F01D19">
        <w:rPr>
          <w:rFonts w:ascii="Times New Roman" w:eastAsia="Times New Roman" w:hAnsi="Times New Roman"/>
          <w:sz w:val="24"/>
          <w:szCs w:val="20"/>
        </w:rPr>
        <w:t xml:space="preserve"> à la clôture de l’exercice fiscal avec les procédures de la Banque Mondiale. L’auditeur examinera l’éligibilité des transactions financières couvrant la période sous revue et les soldes des fonds à la clôture de l’exercice fiscal en conformité avec les dispositions de l’accord de financement et de la lettre de décaissement. Il examinera l’adéquation du système de contrôle interne en fonction du mécanisme de décaissement. Il convient de noter que les conditions de gestion d</w:t>
      </w:r>
      <w:r w:rsidR="00391649">
        <w:rPr>
          <w:rFonts w:ascii="Times New Roman" w:eastAsia="Times New Roman" w:hAnsi="Times New Roman"/>
          <w:sz w:val="24"/>
          <w:szCs w:val="20"/>
        </w:rPr>
        <w:t>es</w:t>
      </w:r>
      <w:r w:rsidRPr="00F01D19">
        <w:rPr>
          <w:rFonts w:ascii="Times New Roman" w:eastAsia="Times New Roman" w:hAnsi="Times New Roman"/>
          <w:sz w:val="24"/>
          <w:szCs w:val="20"/>
        </w:rPr>
        <w:t xml:space="preserve"> Compte</w:t>
      </w:r>
      <w:r w:rsidR="00391649">
        <w:rPr>
          <w:rFonts w:ascii="Times New Roman" w:eastAsia="Times New Roman" w:hAnsi="Times New Roman"/>
          <w:sz w:val="24"/>
          <w:szCs w:val="20"/>
        </w:rPr>
        <w:t>s</w:t>
      </w:r>
      <w:r w:rsidRPr="00F01D19">
        <w:rPr>
          <w:rFonts w:ascii="Times New Roman" w:eastAsia="Times New Roman" w:hAnsi="Times New Roman"/>
          <w:sz w:val="24"/>
          <w:szCs w:val="20"/>
        </w:rPr>
        <w:t xml:space="preserve"> Désigné</w:t>
      </w:r>
      <w:r w:rsidR="00391649">
        <w:rPr>
          <w:rFonts w:ascii="Times New Roman" w:eastAsia="Times New Roman" w:hAnsi="Times New Roman"/>
          <w:sz w:val="24"/>
          <w:szCs w:val="20"/>
        </w:rPr>
        <w:t>s</w:t>
      </w:r>
      <w:r w:rsidRPr="00F01D19">
        <w:rPr>
          <w:rFonts w:ascii="Times New Roman" w:eastAsia="Times New Roman" w:hAnsi="Times New Roman"/>
          <w:sz w:val="24"/>
          <w:szCs w:val="20"/>
        </w:rPr>
        <w:t xml:space="preserve"> sont décrites dans les sous section 5.3 de l’accord de financement et paragraphe I de la lettre de décaissement.</w:t>
      </w:r>
    </w:p>
    <w:p w:rsidR="0017409D" w:rsidRPr="00F01D19" w:rsidRDefault="0017409D" w:rsidP="0017409D">
      <w:pPr>
        <w:tabs>
          <w:tab w:val="left" w:pos="720"/>
        </w:tabs>
        <w:autoSpaceDE w:val="0"/>
        <w:autoSpaceDN w:val="0"/>
        <w:adjustRightInd w:val="0"/>
        <w:spacing w:before="120" w:after="120"/>
        <w:ind w:left="720"/>
        <w:jc w:val="both"/>
        <w:rPr>
          <w:rFonts w:ascii="Times New Roman" w:hAnsi="Times New Roman"/>
          <w:color w:val="000000"/>
          <w:sz w:val="24"/>
          <w:szCs w:val="24"/>
        </w:rPr>
      </w:pPr>
      <w:r w:rsidRPr="00F01D19">
        <w:rPr>
          <w:rFonts w:ascii="Times New Roman" w:hAnsi="Times New Roman"/>
          <w:color w:val="000000"/>
          <w:sz w:val="24"/>
          <w:szCs w:val="24"/>
        </w:rPr>
        <w:t>L’auditeur examinera l’éligibilité et l’exactitude :</w:t>
      </w:r>
    </w:p>
    <w:p w:rsidR="0017409D" w:rsidRPr="00F01D19" w:rsidRDefault="0017409D" w:rsidP="0017409D">
      <w:pPr>
        <w:numPr>
          <w:ilvl w:val="0"/>
          <w:numId w:val="37"/>
        </w:numPr>
        <w:tabs>
          <w:tab w:val="left" w:pos="720"/>
        </w:tabs>
        <w:autoSpaceDE w:val="0"/>
        <w:autoSpaceDN w:val="0"/>
        <w:adjustRightInd w:val="0"/>
        <w:spacing w:after="0" w:line="240" w:lineRule="auto"/>
        <w:jc w:val="both"/>
        <w:rPr>
          <w:rFonts w:ascii="Times New Roman" w:hAnsi="Times New Roman"/>
          <w:color w:val="000000"/>
          <w:sz w:val="24"/>
          <w:szCs w:val="24"/>
        </w:rPr>
      </w:pPr>
      <w:r w:rsidRPr="000A7790">
        <w:rPr>
          <w:rFonts w:ascii="Times New Roman" w:hAnsi="Times New Roman"/>
          <w:color w:val="000000"/>
          <w:sz w:val="24"/>
          <w:szCs w:val="24"/>
        </w:rPr>
        <w:t>d</w:t>
      </w:r>
      <w:r w:rsidRPr="00F01D19">
        <w:rPr>
          <w:rFonts w:ascii="Times New Roman" w:hAnsi="Times New Roman"/>
          <w:color w:val="000000"/>
          <w:sz w:val="24"/>
          <w:szCs w:val="24"/>
        </w:rPr>
        <w:t>es transactions financières durant la période sous revue ;</w:t>
      </w:r>
    </w:p>
    <w:p w:rsidR="0017409D" w:rsidRPr="00F01D19" w:rsidRDefault="0017409D" w:rsidP="0017409D">
      <w:pPr>
        <w:numPr>
          <w:ilvl w:val="0"/>
          <w:numId w:val="37"/>
        </w:numPr>
        <w:tabs>
          <w:tab w:val="left" w:pos="720"/>
        </w:tabs>
        <w:autoSpaceDE w:val="0"/>
        <w:autoSpaceDN w:val="0"/>
        <w:adjustRightInd w:val="0"/>
        <w:spacing w:after="0" w:line="240" w:lineRule="auto"/>
        <w:jc w:val="both"/>
        <w:rPr>
          <w:rFonts w:ascii="Times New Roman" w:hAnsi="Times New Roman"/>
          <w:color w:val="000000"/>
          <w:sz w:val="24"/>
          <w:szCs w:val="24"/>
        </w:rPr>
      </w:pPr>
      <w:r w:rsidRPr="000A7790">
        <w:rPr>
          <w:rFonts w:ascii="Times New Roman" w:hAnsi="Times New Roman"/>
          <w:color w:val="000000"/>
          <w:sz w:val="24"/>
          <w:szCs w:val="24"/>
        </w:rPr>
        <w:t>d</w:t>
      </w:r>
      <w:r w:rsidRPr="00F01D19">
        <w:rPr>
          <w:rFonts w:ascii="Times New Roman" w:hAnsi="Times New Roman"/>
          <w:color w:val="000000"/>
          <w:sz w:val="24"/>
          <w:szCs w:val="24"/>
        </w:rPr>
        <w:t>es soldes des comptes à la clôture de l’exercice sous revue :</w:t>
      </w:r>
    </w:p>
    <w:p w:rsidR="0017409D" w:rsidRPr="00F01D19" w:rsidRDefault="0017409D" w:rsidP="0017409D">
      <w:pPr>
        <w:numPr>
          <w:ilvl w:val="0"/>
          <w:numId w:val="37"/>
        </w:numPr>
        <w:tabs>
          <w:tab w:val="left" w:pos="720"/>
        </w:tabs>
        <w:autoSpaceDE w:val="0"/>
        <w:autoSpaceDN w:val="0"/>
        <w:adjustRightInd w:val="0"/>
        <w:spacing w:after="0" w:line="240" w:lineRule="auto"/>
        <w:jc w:val="both"/>
        <w:rPr>
          <w:rFonts w:ascii="Times New Roman" w:hAnsi="Times New Roman"/>
          <w:color w:val="000000"/>
          <w:sz w:val="24"/>
          <w:szCs w:val="24"/>
        </w:rPr>
      </w:pPr>
      <w:r w:rsidRPr="000A7790">
        <w:rPr>
          <w:rFonts w:ascii="Times New Roman" w:hAnsi="Times New Roman"/>
          <w:color w:val="000000"/>
          <w:sz w:val="24"/>
          <w:szCs w:val="24"/>
        </w:rPr>
        <w:t>d</w:t>
      </w:r>
      <w:r w:rsidRPr="00F01D19">
        <w:rPr>
          <w:rFonts w:ascii="Times New Roman" w:hAnsi="Times New Roman"/>
          <w:color w:val="000000"/>
          <w:sz w:val="24"/>
          <w:szCs w:val="24"/>
        </w:rPr>
        <w:t>e l’utilisation du Compte Désigné en accord avec l’accord de financement ;</w:t>
      </w:r>
    </w:p>
    <w:p w:rsidR="0017409D" w:rsidRPr="00F01D19" w:rsidRDefault="0017409D" w:rsidP="0017409D">
      <w:pPr>
        <w:numPr>
          <w:ilvl w:val="0"/>
          <w:numId w:val="37"/>
        </w:numPr>
        <w:tabs>
          <w:tab w:val="left" w:pos="720"/>
        </w:tabs>
        <w:autoSpaceDE w:val="0"/>
        <w:autoSpaceDN w:val="0"/>
        <w:adjustRightInd w:val="0"/>
        <w:spacing w:after="0" w:line="240" w:lineRule="auto"/>
        <w:jc w:val="both"/>
        <w:rPr>
          <w:rFonts w:ascii="Times New Roman" w:hAnsi="Times New Roman"/>
          <w:color w:val="000000"/>
          <w:sz w:val="24"/>
          <w:szCs w:val="24"/>
        </w:rPr>
      </w:pPr>
      <w:r w:rsidRPr="000A7790">
        <w:rPr>
          <w:rFonts w:ascii="Times New Roman" w:hAnsi="Times New Roman"/>
          <w:color w:val="000000"/>
          <w:sz w:val="24"/>
          <w:szCs w:val="24"/>
        </w:rPr>
        <w:t>d</w:t>
      </w:r>
      <w:r w:rsidRPr="00F01D19">
        <w:rPr>
          <w:rFonts w:ascii="Times New Roman" w:hAnsi="Times New Roman"/>
          <w:color w:val="000000"/>
          <w:sz w:val="24"/>
          <w:szCs w:val="24"/>
        </w:rPr>
        <w:t>e l’adéquation du contrôle interne avec le mécanisme de décaissement.</w:t>
      </w:r>
    </w:p>
    <w:p w:rsidR="0017409D" w:rsidRPr="000A7790" w:rsidRDefault="0017409D" w:rsidP="0017409D">
      <w:pPr>
        <w:spacing w:after="0" w:line="240" w:lineRule="auto"/>
        <w:jc w:val="both"/>
        <w:rPr>
          <w:rFonts w:ascii="Times New Roman" w:eastAsia="Times New Roman" w:hAnsi="Times New Roman"/>
          <w:sz w:val="24"/>
          <w:szCs w:val="24"/>
        </w:rPr>
      </w:pPr>
    </w:p>
    <w:p w:rsidR="0017409D" w:rsidRPr="00050BE6" w:rsidRDefault="0017409D" w:rsidP="0017409D">
      <w:pPr>
        <w:spacing w:after="0" w:line="240" w:lineRule="auto"/>
        <w:jc w:val="both"/>
        <w:rPr>
          <w:rFonts w:ascii="Times New Roman" w:eastAsia="Times New Roman" w:hAnsi="Times New Roman"/>
          <w:sz w:val="24"/>
          <w:szCs w:val="20"/>
        </w:rPr>
      </w:pPr>
    </w:p>
    <w:p w:rsidR="0017409D" w:rsidRPr="00050BE6" w:rsidRDefault="0017409D" w:rsidP="0017409D">
      <w:pPr>
        <w:spacing w:after="0" w:line="240" w:lineRule="auto"/>
        <w:jc w:val="both"/>
        <w:rPr>
          <w:rFonts w:ascii="Times New Roman" w:eastAsia="Times New Roman" w:hAnsi="Times New Roman"/>
          <w:b/>
          <w:i/>
          <w:sz w:val="24"/>
          <w:szCs w:val="20"/>
        </w:rPr>
      </w:pPr>
      <w:r w:rsidRPr="00050BE6">
        <w:rPr>
          <w:rFonts w:ascii="Times New Roman" w:eastAsia="Times New Roman" w:hAnsi="Times New Roman"/>
          <w:b/>
          <w:i/>
          <w:sz w:val="24"/>
          <w:szCs w:val="20"/>
        </w:rPr>
        <w:t xml:space="preserve">5°) </w:t>
      </w:r>
      <w:r>
        <w:rPr>
          <w:rFonts w:ascii="Times New Roman" w:eastAsia="Times New Roman" w:hAnsi="Times New Roman"/>
          <w:b/>
          <w:i/>
          <w:sz w:val="24"/>
          <w:szCs w:val="20"/>
        </w:rPr>
        <w:t>la Lettre de contrôle interne relative à la revue du s</w:t>
      </w:r>
      <w:r w:rsidRPr="00050BE6">
        <w:rPr>
          <w:rFonts w:ascii="Times New Roman" w:eastAsia="Times New Roman" w:hAnsi="Times New Roman"/>
          <w:b/>
          <w:i/>
          <w:sz w:val="24"/>
          <w:szCs w:val="20"/>
        </w:rPr>
        <w:t>ystème de Contrôle  Interne :</w:t>
      </w:r>
    </w:p>
    <w:p w:rsidR="0017409D" w:rsidRPr="00050BE6" w:rsidRDefault="0017409D" w:rsidP="0017409D">
      <w:pPr>
        <w:spacing w:after="0" w:line="240" w:lineRule="auto"/>
        <w:jc w:val="both"/>
        <w:rPr>
          <w:rFonts w:ascii="Times New Roman" w:eastAsia="Times New Roman" w:hAnsi="Times New Roman"/>
          <w:sz w:val="24"/>
          <w:szCs w:val="20"/>
        </w:rPr>
      </w:pPr>
    </w:p>
    <w:p w:rsidR="0017409D" w:rsidRPr="00050BE6" w:rsidRDefault="0017409D" w:rsidP="0017409D">
      <w:pPr>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L’auditeur est tenu de procéder à un examen exhaustif et approfondi du système de contrôle interne allant au-delà de la revue standard qu’il effectue normalement dans le cadre d’un audit classique. Le but de cet examen est d’obtenir une compréhension suffisante des règles et procédures de gestion administrative, comptable, financière et budgétaire en place et vérifier que ces règles et procédures sont adéquates et fiables, mises en application, et fonctionnent correctement. </w:t>
      </w:r>
    </w:p>
    <w:p w:rsidR="0017409D" w:rsidRPr="00050BE6" w:rsidRDefault="0017409D" w:rsidP="0017409D">
      <w:pPr>
        <w:spacing w:after="0" w:line="240" w:lineRule="auto"/>
        <w:ind w:firstLine="709"/>
        <w:jc w:val="both"/>
        <w:rPr>
          <w:rFonts w:ascii="Times New Roman" w:eastAsia="Times New Roman" w:hAnsi="Times New Roman"/>
          <w:sz w:val="24"/>
          <w:szCs w:val="20"/>
        </w:rPr>
      </w:pPr>
    </w:p>
    <w:p w:rsidR="0017409D" w:rsidRPr="00050BE6" w:rsidRDefault="0017409D" w:rsidP="0017409D">
      <w:pPr>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L’auditeur appréciera plus particulièrement : i) les systèmes comptables et d’information pour déterminer s’ils sont adéquats ; et ii) la capacité du personnel comptable et financier à gérer efficacement le programme. Les conclusions de cet examen seront consignées dans un rapport séparé (Lettre à la Direction ou Management letter) à l’attention de</w:t>
      </w:r>
      <w:r>
        <w:rPr>
          <w:rFonts w:ascii="Times New Roman" w:eastAsia="Times New Roman" w:hAnsi="Times New Roman"/>
          <w:sz w:val="24"/>
          <w:szCs w:val="20"/>
        </w:rPr>
        <w:t xml:space="preserve"> la</w:t>
      </w:r>
      <w:r w:rsidRPr="00050BE6">
        <w:rPr>
          <w:rFonts w:ascii="Times New Roman" w:eastAsia="Times New Roman" w:hAnsi="Times New Roman"/>
          <w:sz w:val="24"/>
          <w:szCs w:val="20"/>
        </w:rPr>
        <w:t xml:space="preserve"> coordination d</w:t>
      </w:r>
      <w:r>
        <w:rPr>
          <w:rFonts w:ascii="Times New Roman" w:eastAsia="Times New Roman" w:hAnsi="Times New Roman"/>
          <w:sz w:val="24"/>
          <w:szCs w:val="20"/>
        </w:rPr>
        <w:t>u</w:t>
      </w:r>
      <w:r w:rsidRPr="00050BE6">
        <w:rPr>
          <w:rFonts w:ascii="Times New Roman" w:eastAsia="Times New Roman" w:hAnsi="Times New Roman"/>
          <w:sz w:val="24"/>
          <w:szCs w:val="20"/>
        </w:rPr>
        <w:t xml:space="preserve"> projet dans lequel il rendra compte de toutes les faiblesses et autres défaillances du système, </w:t>
      </w:r>
      <w:r w:rsidRPr="00050BE6">
        <w:rPr>
          <w:rFonts w:ascii="Times New Roman" w:eastAsia="Times New Roman" w:hAnsi="Times New Roman"/>
          <w:sz w:val="24"/>
          <w:szCs w:val="20"/>
        </w:rPr>
        <w:lastRenderedPageBreak/>
        <w:t>évaluera les risques liés aux défaillances du contrôle interne et fera des recommandations pratiques et pertinentes pour son amélioration. La lettre à la direction couvrira tous les aspects liés au contrôle interne et ne sera pas limitée aux :</w:t>
      </w:r>
    </w:p>
    <w:p w:rsidR="0017409D" w:rsidRPr="00050BE6" w:rsidRDefault="0017409D" w:rsidP="0017409D">
      <w:pPr>
        <w:spacing w:after="0" w:line="240" w:lineRule="auto"/>
        <w:jc w:val="both"/>
        <w:rPr>
          <w:rFonts w:ascii="Times New Roman" w:eastAsia="Times New Roman" w:hAnsi="Times New Roman"/>
          <w:sz w:val="24"/>
          <w:szCs w:val="20"/>
        </w:rPr>
      </w:pPr>
    </w:p>
    <w:p w:rsidR="0017409D" w:rsidRPr="00050BE6" w:rsidRDefault="0017409D" w:rsidP="0017409D">
      <w:pPr>
        <w:numPr>
          <w:ilvl w:val="1"/>
          <w:numId w:val="28"/>
        </w:numPr>
        <w:spacing w:after="0" w:line="240" w:lineRule="auto"/>
        <w:rPr>
          <w:rFonts w:ascii="Times New Roman" w:eastAsia="Times New Roman" w:hAnsi="Times New Roman"/>
          <w:sz w:val="24"/>
          <w:szCs w:val="20"/>
        </w:rPr>
      </w:pPr>
      <w:r w:rsidRPr="00050BE6">
        <w:rPr>
          <w:rFonts w:ascii="Times New Roman" w:eastAsia="Times New Roman" w:hAnsi="Times New Roman"/>
          <w:sz w:val="24"/>
          <w:szCs w:val="20"/>
        </w:rPr>
        <w:t>commentaires et observations sur les dossiers, systèmes et contrôles comptables examinés pendant l’audit ;</w:t>
      </w:r>
    </w:p>
    <w:p w:rsidR="0017409D" w:rsidRPr="00050BE6" w:rsidRDefault="0017409D" w:rsidP="0017409D">
      <w:pPr>
        <w:numPr>
          <w:ilvl w:val="1"/>
          <w:numId w:val="28"/>
        </w:numPr>
        <w:spacing w:after="0" w:line="240" w:lineRule="auto"/>
        <w:rPr>
          <w:rFonts w:ascii="Times New Roman" w:eastAsia="Times New Roman" w:hAnsi="Times New Roman"/>
          <w:sz w:val="24"/>
          <w:szCs w:val="20"/>
        </w:rPr>
      </w:pPr>
      <w:r w:rsidRPr="00050BE6">
        <w:rPr>
          <w:rFonts w:ascii="Times New Roman" w:eastAsia="Times New Roman" w:hAnsi="Times New Roman"/>
          <w:sz w:val="24"/>
          <w:szCs w:val="20"/>
        </w:rPr>
        <w:t>carences particulières et les points faibles des systèmes et des contrôles, et présentera des recommandations en vue de leur amélioration ;</w:t>
      </w:r>
    </w:p>
    <w:p w:rsidR="0017409D" w:rsidRPr="00050BE6" w:rsidRDefault="0017409D" w:rsidP="0017409D">
      <w:pPr>
        <w:numPr>
          <w:ilvl w:val="1"/>
          <w:numId w:val="28"/>
        </w:numPr>
        <w:spacing w:after="0" w:line="240" w:lineRule="auto"/>
        <w:rPr>
          <w:rFonts w:ascii="Times New Roman" w:eastAsia="Times New Roman" w:hAnsi="Times New Roman"/>
          <w:sz w:val="24"/>
          <w:szCs w:val="20"/>
        </w:rPr>
      </w:pPr>
      <w:r w:rsidRPr="00050BE6">
        <w:rPr>
          <w:rFonts w:ascii="Times New Roman" w:eastAsia="Times New Roman" w:hAnsi="Times New Roman"/>
          <w:sz w:val="24"/>
          <w:szCs w:val="20"/>
        </w:rPr>
        <w:t xml:space="preserve">degré de conformité à chacune des clauses financières de l’accord de financement et présentera des commentaires, le cas échéant, sur les facteurs internes et externes affectant le respect de ces clauses ; et </w:t>
      </w:r>
    </w:p>
    <w:p w:rsidR="0017409D" w:rsidRPr="00560526" w:rsidRDefault="0017409D" w:rsidP="0017409D">
      <w:pPr>
        <w:numPr>
          <w:ilvl w:val="1"/>
          <w:numId w:val="28"/>
        </w:numPr>
        <w:spacing w:after="0" w:line="240" w:lineRule="auto"/>
        <w:rPr>
          <w:rFonts w:ascii="Times New Roman" w:hAnsi="Times New Roman"/>
          <w:sz w:val="24"/>
          <w:szCs w:val="24"/>
        </w:rPr>
      </w:pPr>
      <w:r>
        <w:rPr>
          <w:rFonts w:ascii="Times New Roman" w:hAnsi="Times New Roman"/>
          <w:sz w:val="24"/>
          <w:szCs w:val="24"/>
        </w:rPr>
        <w:t>C</w:t>
      </w:r>
      <w:r w:rsidRPr="00B33CDF">
        <w:rPr>
          <w:rFonts w:ascii="Times New Roman" w:hAnsi="Times New Roman"/>
          <w:sz w:val="24"/>
          <w:szCs w:val="24"/>
        </w:rPr>
        <w:t xml:space="preserve">onformité des </w:t>
      </w:r>
      <w:r>
        <w:rPr>
          <w:rFonts w:ascii="Times New Roman" w:hAnsi="Times New Roman"/>
          <w:sz w:val="24"/>
          <w:szCs w:val="24"/>
        </w:rPr>
        <w:t xml:space="preserve">pratiques de passation des marchés aux </w:t>
      </w:r>
      <w:r w:rsidRPr="00B33CDF">
        <w:rPr>
          <w:rFonts w:ascii="Times New Roman" w:hAnsi="Times New Roman"/>
          <w:sz w:val="24"/>
          <w:szCs w:val="24"/>
        </w:rPr>
        <w:t>procédures de passation des marchés du bailleur ;</w:t>
      </w:r>
    </w:p>
    <w:p w:rsidR="0017409D" w:rsidRPr="003263FE" w:rsidRDefault="0017409D" w:rsidP="0017409D">
      <w:pPr>
        <w:numPr>
          <w:ilvl w:val="1"/>
          <w:numId w:val="28"/>
        </w:numPr>
        <w:spacing w:after="0" w:line="240" w:lineRule="auto"/>
        <w:rPr>
          <w:rFonts w:ascii="Times New Roman" w:hAnsi="Times New Roman"/>
          <w:sz w:val="24"/>
          <w:szCs w:val="24"/>
        </w:rPr>
      </w:pPr>
      <w:r w:rsidRPr="003263FE">
        <w:rPr>
          <w:rFonts w:ascii="Times New Roman" w:hAnsi="Times New Roman"/>
          <w:sz w:val="24"/>
          <w:szCs w:val="24"/>
        </w:rPr>
        <w:t>Commentaires sur la résolution des anomalies et réserves des rapports d’audit précédents</w:t>
      </w:r>
    </w:p>
    <w:p w:rsidR="0017409D" w:rsidRPr="00050BE6" w:rsidRDefault="0017409D" w:rsidP="0017409D">
      <w:pPr>
        <w:numPr>
          <w:ilvl w:val="1"/>
          <w:numId w:val="28"/>
        </w:numPr>
        <w:spacing w:after="0" w:line="240" w:lineRule="auto"/>
        <w:rPr>
          <w:rFonts w:ascii="Times New Roman" w:eastAsia="Times New Roman" w:hAnsi="Times New Roman"/>
          <w:sz w:val="24"/>
          <w:szCs w:val="20"/>
        </w:rPr>
      </w:pPr>
      <w:r w:rsidRPr="00050BE6">
        <w:rPr>
          <w:rFonts w:ascii="Times New Roman" w:eastAsia="Times New Roman" w:hAnsi="Times New Roman"/>
          <w:sz w:val="24"/>
          <w:szCs w:val="20"/>
        </w:rPr>
        <w:t>questions qui auront attiré l’attention durant l’audit parce qu’elles pourraient avoir un effet notable sur l’exécution du projet.</w:t>
      </w:r>
    </w:p>
    <w:p w:rsidR="0017409D" w:rsidRPr="00F01D19" w:rsidRDefault="0017409D" w:rsidP="0017409D">
      <w:pPr>
        <w:jc w:val="both"/>
        <w:rPr>
          <w:rFonts w:ascii="Times New Roman" w:hAnsi="Times New Roman"/>
          <w:bCs/>
          <w:sz w:val="24"/>
          <w:szCs w:val="24"/>
        </w:rPr>
      </w:pPr>
      <w:r w:rsidRPr="00F01D19">
        <w:rPr>
          <w:rFonts w:ascii="Times New Roman" w:hAnsi="Times New Roman"/>
          <w:bCs/>
          <w:sz w:val="24"/>
          <w:szCs w:val="24"/>
        </w:rPr>
        <w:t>L</w:t>
      </w:r>
      <w:r w:rsidRPr="000A7790">
        <w:rPr>
          <w:rFonts w:ascii="Times New Roman" w:eastAsia="Times New Roman" w:hAnsi="Times New Roman"/>
          <w:bCs/>
          <w:sz w:val="24"/>
          <w:szCs w:val="24"/>
          <w:lang w:eastAsia="fr-FR"/>
        </w:rPr>
        <w:t>a lettre de contrôle interne devra inclure les réponses des entités d’exécution sur les insuffisances relevées par l’auditeur</w:t>
      </w:r>
      <w:r>
        <w:rPr>
          <w:rFonts w:ascii="Times New Roman" w:eastAsia="Times New Roman" w:hAnsi="Times New Roman"/>
          <w:bCs/>
          <w:sz w:val="24"/>
          <w:szCs w:val="24"/>
          <w:lang w:eastAsia="fr-FR"/>
        </w:rPr>
        <w:t xml:space="preserve"> ainsi que la conclusion finale de l’auditeur au regard de ces commentaires.</w:t>
      </w:r>
    </w:p>
    <w:p w:rsidR="0017409D" w:rsidRPr="00050BE6" w:rsidRDefault="0017409D" w:rsidP="0017409D">
      <w:pPr>
        <w:tabs>
          <w:tab w:val="left" w:pos="1770"/>
        </w:tabs>
        <w:spacing w:after="0" w:line="240" w:lineRule="auto"/>
        <w:jc w:val="both"/>
        <w:rPr>
          <w:rFonts w:ascii="Times New Roman" w:eastAsia="Times New Roman" w:hAnsi="Times New Roman"/>
          <w:sz w:val="24"/>
          <w:szCs w:val="20"/>
        </w:rPr>
      </w:pPr>
    </w:p>
    <w:p w:rsidR="0017409D" w:rsidRPr="00F01D19" w:rsidRDefault="0017409D" w:rsidP="0017409D">
      <w:pPr>
        <w:pStyle w:val="Paragraphedeliste"/>
        <w:numPr>
          <w:ilvl w:val="0"/>
          <w:numId w:val="27"/>
        </w:numPr>
        <w:suppressAutoHyphens/>
        <w:spacing w:after="120"/>
        <w:jc w:val="both"/>
        <w:rPr>
          <w:b/>
          <w:bCs/>
          <w:lang w:val="fr-FR"/>
        </w:rPr>
      </w:pPr>
      <w:r w:rsidRPr="006979E8">
        <w:rPr>
          <w:b/>
          <w:bCs/>
          <w:lang w:val="fr-FR"/>
        </w:rPr>
        <w:t>LES RAPPORTS DE L’AUDITEUR</w:t>
      </w:r>
    </w:p>
    <w:p w:rsidR="0017409D" w:rsidRPr="00050BE6" w:rsidRDefault="0017409D" w:rsidP="0017409D">
      <w:pPr>
        <w:tabs>
          <w:tab w:val="left" w:pos="1770"/>
        </w:tabs>
        <w:spacing w:after="0" w:line="240" w:lineRule="auto"/>
        <w:jc w:val="both"/>
        <w:rPr>
          <w:rFonts w:ascii="Times New Roman" w:eastAsia="Times New Roman" w:hAnsi="Times New Roman"/>
          <w:b/>
          <w:i/>
          <w:sz w:val="24"/>
          <w:szCs w:val="20"/>
        </w:rPr>
      </w:pPr>
    </w:p>
    <w:p w:rsidR="0017409D" w:rsidRPr="00050BE6" w:rsidRDefault="0017409D" w:rsidP="0017409D">
      <w:pPr>
        <w:tabs>
          <w:tab w:val="right" w:pos="3542"/>
        </w:tabs>
        <w:spacing w:after="0" w:line="240" w:lineRule="auto"/>
        <w:jc w:val="both"/>
        <w:rPr>
          <w:rFonts w:ascii="Times New Roman" w:eastAsia="Times New Roman" w:hAnsi="Times New Roman"/>
          <w:sz w:val="24"/>
          <w:szCs w:val="24"/>
        </w:rPr>
      </w:pPr>
      <w:r w:rsidRPr="00050BE6">
        <w:rPr>
          <w:rFonts w:ascii="Times New Roman" w:eastAsia="Times New Roman" w:hAnsi="Times New Roman"/>
          <w:sz w:val="24"/>
          <w:szCs w:val="24"/>
        </w:rPr>
        <w:t>L’auditeur doit fournir :</w:t>
      </w:r>
    </w:p>
    <w:p w:rsidR="0017409D" w:rsidRPr="00050BE6" w:rsidRDefault="0017409D" w:rsidP="0017409D">
      <w:pPr>
        <w:tabs>
          <w:tab w:val="right" w:pos="3542"/>
        </w:tabs>
        <w:spacing w:after="0" w:line="240" w:lineRule="auto"/>
        <w:jc w:val="both"/>
        <w:rPr>
          <w:rFonts w:ascii="Times New Roman" w:eastAsia="Times New Roman" w:hAnsi="Times New Roman"/>
          <w:sz w:val="24"/>
          <w:szCs w:val="24"/>
        </w:rPr>
      </w:pPr>
    </w:p>
    <w:p w:rsidR="0017409D" w:rsidRPr="00050BE6" w:rsidRDefault="0017409D" w:rsidP="0017409D">
      <w:pPr>
        <w:numPr>
          <w:ilvl w:val="0"/>
          <w:numId w:val="30"/>
        </w:numPr>
        <w:spacing w:after="0" w:line="240" w:lineRule="auto"/>
        <w:contextualSpacing/>
        <w:jc w:val="both"/>
        <w:rPr>
          <w:rFonts w:ascii="Times New Roman" w:eastAsia="Times New Roman" w:hAnsi="Times New Roman"/>
          <w:sz w:val="24"/>
          <w:szCs w:val="24"/>
        </w:rPr>
      </w:pPr>
      <w:r w:rsidRPr="00050BE6">
        <w:rPr>
          <w:rFonts w:ascii="Times New Roman" w:eastAsia="Times New Roman" w:hAnsi="Times New Roman"/>
          <w:sz w:val="24"/>
          <w:szCs w:val="24"/>
        </w:rPr>
        <w:t xml:space="preserve">Un rapport d’audit/rapport succinct qui contiendra </w:t>
      </w:r>
      <w:r w:rsidRPr="00050BE6">
        <w:rPr>
          <w:rFonts w:ascii="Times New Roman" w:eastAsia="Times New Roman" w:hAnsi="Times New Roman"/>
          <w:b/>
          <w:bCs/>
          <w:sz w:val="24"/>
          <w:szCs w:val="24"/>
          <w:u w:val="single"/>
        </w:rPr>
        <w:t>une opinion professionnelle unique</w:t>
      </w:r>
      <w:r w:rsidRPr="00050BE6">
        <w:rPr>
          <w:rFonts w:ascii="Times New Roman" w:eastAsia="Times New Roman" w:hAnsi="Times New Roman"/>
          <w:sz w:val="24"/>
          <w:szCs w:val="24"/>
        </w:rPr>
        <w:t xml:space="preserve"> des auditeurs sur les états financiers</w:t>
      </w:r>
      <w:r>
        <w:rPr>
          <w:rFonts w:ascii="Times New Roman" w:eastAsia="Times New Roman" w:hAnsi="Times New Roman"/>
          <w:sz w:val="24"/>
          <w:szCs w:val="24"/>
        </w:rPr>
        <w:t xml:space="preserve"> (y compris les conclusions de la revue sur les relevés des dépenses et sur le</w:t>
      </w:r>
      <w:r w:rsidR="00DC6833">
        <w:rPr>
          <w:rFonts w:ascii="Times New Roman" w:eastAsia="Times New Roman" w:hAnsi="Times New Roman"/>
          <w:sz w:val="24"/>
          <w:szCs w:val="24"/>
        </w:rPr>
        <w:t>s</w:t>
      </w:r>
      <w:r>
        <w:rPr>
          <w:rFonts w:ascii="Times New Roman" w:eastAsia="Times New Roman" w:hAnsi="Times New Roman"/>
          <w:sz w:val="24"/>
          <w:szCs w:val="24"/>
        </w:rPr>
        <w:t xml:space="preserve"> compte</w:t>
      </w:r>
      <w:r w:rsidR="00DC6833">
        <w:rPr>
          <w:rFonts w:ascii="Times New Roman" w:eastAsia="Times New Roman" w:hAnsi="Times New Roman"/>
          <w:sz w:val="24"/>
          <w:szCs w:val="24"/>
        </w:rPr>
        <w:t>s</w:t>
      </w:r>
      <w:r>
        <w:rPr>
          <w:rFonts w:ascii="Times New Roman" w:eastAsia="Times New Roman" w:hAnsi="Times New Roman"/>
          <w:sz w:val="24"/>
          <w:szCs w:val="24"/>
        </w:rPr>
        <w:t xml:space="preserve"> désigné</w:t>
      </w:r>
      <w:r w:rsidR="00DC6833">
        <w:rPr>
          <w:rFonts w:ascii="Times New Roman" w:eastAsia="Times New Roman" w:hAnsi="Times New Roman"/>
          <w:sz w:val="24"/>
          <w:szCs w:val="24"/>
        </w:rPr>
        <w:t>s</w:t>
      </w:r>
      <w:r>
        <w:rPr>
          <w:rFonts w:ascii="Times New Roman" w:eastAsia="Times New Roman" w:hAnsi="Times New Roman"/>
          <w:sz w:val="24"/>
          <w:szCs w:val="24"/>
        </w:rPr>
        <w:t>)</w:t>
      </w:r>
      <w:r w:rsidRPr="00050BE6">
        <w:rPr>
          <w:rFonts w:ascii="Times New Roman" w:eastAsia="Times New Roman" w:hAnsi="Times New Roman"/>
          <w:sz w:val="24"/>
          <w:szCs w:val="24"/>
        </w:rPr>
        <w:t xml:space="preserve">; </w:t>
      </w:r>
    </w:p>
    <w:p w:rsidR="0017409D" w:rsidRPr="00050BE6" w:rsidRDefault="0017409D" w:rsidP="0017409D">
      <w:pPr>
        <w:numPr>
          <w:ilvl w:val="0"/>
          <w:numId w:val="30"/>
        </w:numPr>
        <w:spacing w:after="0" w:line="240" w:lineRule="auto"/>
        <w:contextualSpacing/>
        <w:jc w:val="both"/>
        <w:rPr>
          <w:rFonts w:ascii="Times New Roman" w:eastAsia="Times New Roman" w:hAnsi="Times New Roman"/>
          <w:sz w:val="24"/>
          <w:szCs w:val="24"/>
        </w:rPr>
      </w:pPr>
      <w:r w:rsidRPr="00050BE6">
        <w:rPr>
          <w:rFonts w:ascii="Times New Roman" w:eastAsia="Times New Roman" w:hAnsi="Times New Roman"/>
          <w:sz w:val="24"/>
          <w:szCs w:val="24"/>
        </w:rPr>
        <w:t xml:space="preserve">Un rapport sur le contrôle interne (Lettre à la direction ou Management Letter) rendant compte de toutes les faiblesses du système, évaluant les risques liés à ces défaillances et proposant des recommandations pertinentes et pratiques, assorties d’un plan d’actions et d’un chronogramme de mise en application. </w:t>
      </w:r>
    </w:p>
    <w:p w:rsidR="0017409D" w:rsidRPr="00050BE6" w:rsidRDefault="0017409D" w:rsidP="0017409D">
      <w:pPr>
        <w:contextualSpacing/>
        <w:jc w:val="both"/>
        <w:rPr>
          <w:rFonts w:ascii="Times New Roman" w:eastAsia="Times New Roman" w:hAnsi="Times New Roman"/>
          <w:b/>
          <w:bCs/>
          <w:sz w:val="24"/>
          <w:szCs w:val="24"/>
        </w:rPr>
      </w:pPr>
    </w:p>
    <w:p w:rsidR="0017409D" w:rsidRPr="00F01D19" w:rsidRDefault="0017409D" w:rsidP="0017409D">
      <w:pPr>
        <w:contextualSpacing/>
        <w:jc w:val="both"/>
        <w:rPr>
          <w:rFonts w:ascii="Times New Roman" w:hAnsi="Times New Roman"/>
          <w:color w:val="000000"/>
          <w:sz w:val="24"/>
          <w:szCs w:val="24"/>
        </w:rPr>
      </w:pPr>
      <w:r w:rsidRPr="00F01D19">
        <w:rPr>
          <w:rFonts w:ascii="Times New Roman" w:eastAsia="Times New Roman" w:hAnsi="Times New Roman"/>
          <w:b/>
          <w:bCs/>
          <w:sz w:val="24"/>
          <w:szCs w:val="24"/>
        </w:rPr>
        <w:t xml:space="preserve">Le rapport d’audit et le rapport sur le contrôle interne dûment approuvés par la Coordination devraient parvenir à l’IDA et au Ministère Tutelle du Projet et aux autres bailleurs de fonds dans les </w:t>
      </w:r>
      <w:r w:rsidR="00376E58">
        <w:rPr>
          <w:rFonts w:ascii="Times New Roman" w:eastAsia="Times New Roman" w:hAnsi="Times New Roman"/>
          <w:b/>
          <w:bCs/>
          <w:sz w:val="24"/>
          <w:szCs w:val="24"/>
        </w:rPr>
        <w:t xml:space="preserve"> six </w:t>
      </w:r>
      <w:r w:rsidRPr="00F01D19">
        <w:rPr>
          <w:rFonts w:ascii="Times New Roman" w:eastAsia="Times New Roman" w:hAnsi="Times New Roman"/>
          <w:b/>
          <w:bCs/>
          <w:sz w:val="24"/>
          <w:szCs w:val="24"/>
        </w:rPr>
        <w:t xml:space="preserve"> (</w:t>
      </w:r>
      <w:r w:rsidR="00376E58">
        <w:rPr>
          <w:rFonts w:ascii="Times New Roman" w:eastAsia="Times New Roman" w:hAnsi="Times New Roman"/>
          <w:b/>
          <w:bCs/>
          <w:sz w:val="24"/>
          <w:szCs w:val="24"/>
        </w:rPr>
        <w:t>6</w:t>
      </w:r>
      <w:r w:rsidRPr="00F01D19">
        <w:rPr>
          <w:rFonts w:ascii="Times New Roman" w:eastAsia="Times New Roman" w:hAnsi="Times New Roman"/>
          <w:b/>
          <w:bCs/>
          <w:sz w:val="24"/>
          <w:szCs w:val="24"/>
        </w:rPr>
        <w:t>) mois suivant la clôture de chaque exercice</w:t>
      </w:r>
      <w:r w:rsidRPr="00050BE6">
        <w:rPr>
          <w:rFonts w:ascii="Times New Roman" w:eastAsia="Times New Roman" w:hAnsi="Times New Roman"/>
        </w:rPr>
        <w:t xml:space="preserve">. </w:t>
      </w:r>
      <w:r w:rsidRPr="00F01D19">
        <w:rPr>
          <w:rFonts w:ascii="Times New Roman" w:hAnsi="Times New Roman"/>
          <w:color w:val="000000"/>
          <w:sz w:val="24"/>
          <w:szCs w:val="24"/>
        </w:rPr>
        <w:t xml:space="preserve">L’auditeur soumettra, </w:t>
      </w:r>
      <w:r w:rsidRPr="006979E8">
        <w:rPr>
          <w:rFonts w:ascii="Times New Roman" w:eastAsia="Times New Roman" w:hAnsi="Times New Roman"/>
          <w:sz w:val="24"/>
          <w:szCs w:val="24"/>
        </w:rPr>
        <w:t xml:space="preserve">en plusieurs exemplaires, </w:t>
      </w:r>
      <w:r w:rsidRPr="00F01D19">
        <w:rPr>
          <w:rFonts w:ascii="Times New Roman" w:hAnsi="Times New Roman"/>
          <w:color w:val="000000"/>
          <w:sz w:val="24"/>
          <w:szCs w:val="24"/>
        </w:rPr>
        <w:t xml:space="preserve">le rapport </w:t>
      </w:r>
      <w:r w:rsidR="00376E58">
        <w:rPr>
          <w:rFonts w:ascii="Times New Roman" w:hAnsi="Times New Roman"/>
          <w:color w:val="000000"/>
          <w:sz w:val="24"/>
          <w:szCs w:val="24"/>
        </w:rPr>
        <w:t xml:space="preserve">au </w:t>
      </w:r>
      <w:r w:rsidRPr="00F01D19">
        <w:rPr>
          <w:rFonts w:ascii="Times New Roman" w:hAnsi="Times New Roman"/>
          <w:color w:val="000000"/>
          <w:sz w:val="24"/>
          <w:szCs w:val="24"/>
        </w:rPr>
        <w:t xml:space="preserve"> Coordonnateur) </w:t>
      </w:r>
      <w:r w:rsidR="00376E58">
        <w:rPr>
          <w:rFonts w:ascii="Times New Roman" w:hAnsi="Times New Roman"/>
          <w:color w:val="000000"/>
          <w:sz w:val="24"/>
          <w:szCs w:val="24"/>
        </w:rPr>
        <w:t>du</w:t>
      </w:r>
      <w:r w:rsidRPr="00F01D19">
        <w:rPr>
          <w:rFonts w:ascii="Times New Roman" w:hAnsi="Times New Roman"/>
          <w:color w:val="000000"/>
          <w:sz w:val="24"/>
          <w:szCs w:val="24"/>
        </w:rPr>
        <w:t xml:space="preserve"> Projet. </w:t>
      </w:r>
      <w:r w:rsidR="00376E58">
        <w:rPr>
          <w:rFonts w:ascii="Times New Roman" w:hAnsi="Times New Roman"/>
          <w:color w:val="000000"/>
          <w:sz w:val="24"/>
          <w:szCs w:val="24"/>
        </w:rPr>
        <w:t xml:space="preserve">Le projet </w:t>
      </w:r>
      <w:r w:rsidRPr="00F01D19">
        <w:rPr>
          <w:rFonts w:ascii="Times New Roman" w:hAnsi="Times New Roman"/>
          <w:color w:val="000000"/>
          <w:sz w:val="24"/>
          <w:szCs w:val="24"/>
        </w:rPr>
        <w:t xml:space="preserve">transmettra </w:t>
      </w:r>
      <w:r w:rsidR="00376E58">
        <w:rPr>
          <w:rFonts w:ascii="Times New Roman" w:hAnsi="Times New Roman"/>
          <w:color w:val="000000"/>
          <w:sz w:val="24"/>
          <w:szCs w:val="24"/>
        </w:rPr>
        <w:t xml:space="preserve">une </w:t>
      </w:r>
      <w:r w:rsidRPr="00F01D19">
        <w:rPr>
          <w:rFonts w:ascii="Times New Roman" w:hAnsi="Times New Roman"/>
          <w:color w:val="000000"/>
          <w:sz w:val="24"/>
          <w:szCs w:val="24"/>
        </w:rPr>
        <w:t>copie</w:t>
      </w:r>
      <w:r w:rsidR="00376E58">
        <w:rPr>
          <w:rFonts w:ascii="Times New Roman" w:hAnsi="Times New Roman"/>
          <w:color w:val="000000"/>
          <w:sz w:val="24"/>
          <w:szCs w:val="24"/>
        </w:rPr>
        <w:t xml:space="preserve"> </w:t>
      </w:r>
      <w:r w:rsidRPr="00F01D19">
        <w:rPr>
          <w:rFonts w:ascii="Times New Roman" w:hAnsi="Times New Roman"/>
          <w:color w:val="000000"/>
          <w:sz w:val="24"/>
          <w:szCs w:val="24"/>
        </w:rPr>
        <w:t xml:space="preserve"> d</w:t>
      </w:r>
      <w:r w:rsidR="00376E58">
        <w:rPr>
          <w:rFonts w:ascii="Times New Roman" w:hAnsi="Times New Roman"/>
          <w:color w:val="000000"/>
          <w:sz w:val="24"/>
          <w:szCs w:val="24"/>
        </w:rPr>
        <w:t xml:space="preserve">u </w:t>
      </w:r>
      <w:r w:rsidRPr="00F01D19">
        <w:rPr>
          <w:rFonts w:ascii="Times New Roman" w:hAnsi="Times New Roman"/>
          <w:color w:val="000000"/>
          <w:sz w:val="24"/>
          <w:szCs w:val="24"/>
        </w:rPr>
        <w:t xml:space="preserve"> rapport</w:t>
      </w:r>
      <w:r w:rsidR="00376E58">
        <w:rPr>
          <w:rFonts w:ascii="Times New Roman" w:hAnsi="Times New Roman"/>
          <w:color w:val="000000"/>
          <w:sz w:val="24"/>
          <w:szCs w:val="24"/>
        </w:rPr>
        <w:t xml:space="preserve"> ( rapport d’audit et lettre sur le contrôle interne ) </w:t>
      </w:r>
      <w:r w:rsidRPr="00F01D19">
        <w:rPr>
          <w:rFonts w:ascii="Times New Roman" w:hAnsi="Times New Roman"/>
          <w:color w:val="000000"/>
          <w:sz w:val="24"/>
          <w:szCs w:val="24"/>
        </w:rPr>
        <w:t>à la Banque mondiale.</w:t>
      </w:r>
    </w:p>
    <w:p w:rsidR="0017409D" w:rsidRDefault="0017409D" w:rsidP="0017409D">
      <w:pPr>
        <w:contextualSpacing/>
        <w:jc w:val="both"/>
        <w:rPr>
          <w:color w:val="000000"/>
        </w:rPr>
      </w:pPr>
    </w:p>
    <w:p w:rsidR="0017409D" w:rsidRPr="00F01D19" w:rsidRDefault="0017409D" w:rsidP="0017409D">
      <w:pPr>
        <w:pStyle w:val="Paragraphedeliste"/>
        <w:numPr>
          <w:ilvl w:val="0"/>
          <w:numId w:val="27"/>
        </w:numPr>
        <w:suppressAutoHyphens/>
        <w:spacing w:after="120"/>
        <w:jc w:val="both"/>
        <w:rPr>
          <w:b/>
          <w:bCs/>
          <w:lang w:val="fr-FR"/>
        </w:rPr>
      </w:pPr>
      <w:r w:rsidRPr="006979E8">
        <w:rPr>
          <w:b/>
          <w:bCs/>
          <w:lang w:val="fr-FR"/>
        </w:rPr>
        <w:t xml:space="preserve">POINTS GENERAUX </w:t>
      </w:r>
    </w:p>
    <w:p w:rsidR="0017409D" w:rsidRPr="00050BE6" w:rsidRDefault="0017409D" w:rsidP="0017409D">
      <w:pPr>
        <w:tabs>
          <w:tab w:val="right" w:pos="2887"/>
        </w:tabs>
        <w:spacing w:after="0" w:line="240" w:lineRule="auto"/>
        <w:jc w:val="both"/>
        <w:rPr>
          <w:rFonts w:ascii="Times New Roman" w:eastAsia="Times New Roman" w:hAnsi="Times New Roman"/>
          <w:b/>
          <w:i/>
          <w:iCs/>
          <w:sz w:val="24"/>
          <w:szCs w:val="20"/>
        </w:rPr>
      </w:pPr>
    </w:p>
    <w:p w:rsidR="0017409D" w:rsidRPr="00050BE6" w:rsidRDefault="0017409D" w:rsidP="0017409D">
      <w:pPr>
        <w:tabs>
          <w:tab w:val="left" w:pos="5000"/>
          <w:tab w:val="left" w:pos="6546"/>
          <w:tab w:val="right" w:pos="7884"/>
          <w:tab w:val="right" w:pos="8184"/>
        </w:tabs>
        <w:spacing w:after="0" w:line="240" w:lineRule="auto"/>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L'auditeur doit avoir accès à tous les documents juridiques, à savoir, le rapport d’évaluation du Projet (PAD) du </w:t>
      </w:r>
      <w:r>
        <w:rPr>
          <w:rFonts w:ascii="Times New Roman" w:eastAsia="Times New Roman" w:hAnsi="Times New Roman"/>
          <w:sz w:val="24"/>
          <w:szCs w:val="20"/>
        </w:rPr>
        <w:t>PARIIS</w:t>
      </w:r>
      <w:r w:rsidRPr="00050BE6">
        <w:rPr>
          <w:rFonts w:ascii="Times New Roman" w:eastAsia="Times New Roman" w:hAnsi="Times New Roman"/>
          <w:sz w:val="24"/>
          <w:szCs w:val="20"/>
        </w:rPr>
        <w:t>-Mali, les échanges de correspondance, les rapports de supervision et autres éléments d’information liés au Programme et jugés nécessaires par lui. Il doit aussi obtenir la confirmation des montants décaissés et dus à l’IDA et aux autres bailleurs de fonds. Le Chargé du Projet à la Banque peut aider l’auditeur à obtenir ces confirmations.</w:t>
      </w:r>
    </w:p>
    <w:p w:rsidR="0017409D" w:rsidRPr="00050BE6" w:rsidRDefault="0017409D" w:rsidP="0017409D">
      <w:pPr>
        <w:tabs>
          <w:tab w:val="left" w:pos="5000"/>
          <w:tab w:val="left" w:pos="6546"/>
          <w:tab w:val="right" w:pos="7884"/>
          <w:tab w:val="right" w:pos="8184"/>
        </w:tabs>
        <w:spacing w:after="0" w:line="240" w:lineRule="auto"/>
        <w:jc w:val="both"/>
        <w:rPr>
          <w:rFonts w:ascii="Times New Roman" w:eastAsia="Times New Roman" w:hAnsi="Times New Roman"/>
          <w:sz w:val="24"/>
          <w:szCs w:val="20"/>
        </w:rPr>
      </w:pPr>
    </w:p>
    <w:p w:rsidR="0017409D" w:rsidRDefault="0017409D" w:rsidP="00C57390">
      <w:pPr>
        <w:spacing w:after="0" w:line="240" w:lineRule="auto"/>
        <w:ind w:hanging="720"/>
        <w:jc w:val="both"/>
        <w:rPr>
          <w:rFonts w:ascii="Times New Roman" w:eastAsia="Times New Roman" w:hAnsi="Times New Roman"/>
          <w:sz w:val="24"/>
          <w:szCs w:val="20"/>
        </w:rPr>
      </w:pPr>
      <w:r w:rsidRPr="00050BE6">
        <w:rPr>
          <w:rFonts w:ascii="Times New Roman" w:eastAsia="Times New Roman" w:hAnsi="Times New Roman"/>
          <w:bCs/>
          <w:sz w:val="24"/>
          <w:szCs w:val="20"/>
        </w:rPr>
        <w:t xml:space="preserve">           </w:t>
      </w:r>
    </w:p>
    <w:p w:rsidR="0017409D" w:rsidRDefault="0017409D" w:rsidP="0017409D">
      <w:pPr>
        <w:spacing w:after="0" w:line="240" w:lineRule="auto"/>
        <w:jc w:val="both"/>
        <w:rPr>
          <w:rFonts w:ascii="Times New Roman" w:eastAsia="Times New Roman" w:hAnsi="Times New Roman"/>
          <w:sz w:val="24"/>
          <w:szCs w:val="20"/>
        </w:rPr>
      </w:pPr>
    </w:p>
    <w:p w:rsidR="0017409D" w:rsidRPr="0054770D" w:rsidRDefault="0017409D" w:rsidP="0017409D">
      <w:pPr>
        <w:pStyle w:val="Paragraphedeliste"/>
        <w:numPr>
          <w:ilvl w:val="0"/>
          <w:numId w:val="27"/>
        </w:numPr>
        <w:suppressAutoHyphens/>
        <w:spacing w:after="120"/>
        <w:jc w:val="both"/>
        <w:rPr>
          <w:b/>
          <w:bCs/>
          <w:lang w:val="fr-FR"/>
        </w:rPr>
      </w:pPr>
      <w:r w:rsidRPr="006979E8">
        <w:rPr>
          <w:b/>
          <w:bCs/>
          <w:lang w:val="fr-FR"/>
        </w:rPr>
        <w:t>QUALIFICATION DU CABINET ET COMPOSITION DU PERSONNEL CLE</w:t>
      </w:r>
    </w:p>
    <w:p w:rsidR="0017409D" w:rsidRPr="0054770D" w:rsidRDefault="0017409D" w:rsidP="0017409D">
      <w:pPr>
        <w:jc w:val="both"/>
        <w:rPr>
          <w:rFonts w:ascii="Times New Roman" w:hAnsi="Times New Roman"/>
          <w:sz w:val="24"/>
          <w:szCs w:val="24"/>
        </w:rPr>
      </w:pPr>
      <w:r w:rsidRPr="0054770D">
        <w:rPr>
          <w:rFonts w:ascii="Times New Roman" w:hAnsi="Times New Roman"/>
          <w:sz w:val="24"/>
          <w:szCs w:val="24"/>
        </w:rPr>
        <w:t>Le cabinet doit être un bureau d’expertise comptable expérimenté en audit avec au moins 5 ans d’expériences d’audit de projet sur financement extérieur</w:t>
      </w:r>
      <w:r w:rsidRPr="0054770D">
        <w:rPr>
          <w:rFonts w:ascii="Times New Roman" w:hAnsi="Times New Roman"/>
          <w:iCs/>
          <w:sz w:val="24"/>
          <w:szCs w:val="24"/>
        </w:rPr>
        <w:t xml:space="preserve"> et être acceptable par l’IDA</w:t>
      </w:r>
      <w:r w:rsidRPr="0054770D">
        <w:rPr>
          <w:rFonts w:ascii="Times New Roman" w:hAnsi="Times New Roman"/>
          <w:sz w:val="24"/>
          <w:szCs w:val="24"/>
        </w:rPr>
        <w:t>. Il doit être</w:t>
      </w:r>
      <w:r w:rsidRPr="0054770D">
        <w:rPr>
          <w:rFonts w:ascii="Times New Roman" w:hAnsi="Times New Roman"/>
          <w:iCs/>
          <w:sz w:val="24"/>
          <w:szCs w:val="24"/>
        </w:rPr>
        <w:t xml:space="preserve"> régulièrement inscrit au Tableau d’un Ordre des </w:t>
      </w:r>
      <w:r w:rsidR="00F63B5B" w:rsidRPr="0054770D">
        <w:rPr>
          <w:rFonts w:ascii="Times New Roman" w:hAnsi="Times New Roman"/>
          <w:iCs/>
          <w:sz w:val="24"/>
          <w:szCs w:val="24"/>
        </w:rPr>
        <w:t>Experts-comptables reconnu</w:t>
      </w:r>
      <w:r w:rsidRPr="0054770D">
        <w:rPr>
          <w:rFonts w:ascii="Times New Roman" w:hAnsi="Times New Roman"/>
          <w:iCs/>
          <w:sz w:val="24"/>
          <w:szCs w:val="24"/>
        </w:rPr>
        <w:t xml:space="preserve"> au plan international par l’IFAC ou la FIDEF,</w:t>
      </w:r>
      <w:r w:rsidRPr="0054770D" w:rsidDel="008D6565">
        <w:rPr>
          <w:rFonts w:ascii="Times New Roman" w:hAnsi="Times New Roman"/>
          <w:sz w:val="24"/>
          <w:szCs w:val="24"/>
        </w:rPr>
        <w:t xml:space="preserve"> </w:t>
      </w:r>
      <w:r w:rsidRPr="0054770D">
        <w:rPr>
          <w:rFonts w:ascii="Times New Roman" w:hAnsi="Times New Roman"/>
          <w:sz w:val="24"/>
          <w:szCs w:val="24"/>
          <w:lang w:val="fr-BE"/>
        </w:rPr>
        <w:t>faire profession habituelle de réviser les comptes</w:t>
      </w:r>
      <w:r w:rsidRPr="0054770D">
        <w:rPr>
          <w:rFonts w:ascii="Times New Roman" w:hAnsi="Times New Roman"/>
          <w:iCs/>
          <w:sz w:val="24"/>
          <w:szCs w:val="24"/>
        </w:rPr>
        <w:t>.</w:t>
      </w:r>
    </w:p>
    <w:p w:rsidR="0017409D" w:rsidRPr="0054770D" w:rsidRDefault="0017409D" w:rsidP="0017409D">
      <w:pPr>
        <w:jc w:val="both"/>
        <w:rPr>
          <w:rFonts w:ascii="Times New Roman" w:hAnsi="Times New Roman"/>
          <w:sz w:val="24"/>
          <w:szCs w:val="24"/>
        </w:rPr>
      </w:pPr>
      <w:r w:rsidRPr="0054770D">
        <w:rPr>
          <w:rFonts w:ascii="Times New Roman" w:hAnsi="Times New Roman"/>
          <w:sz w:val="24"/>
          <w:szCs w:val="24"/>
        </w:rPr>
        <w:t xml:space="preserve">Le cabinet devra compter dans son équipe, </w:t>
      </w:r>
      <w:r w:rsidR="00F63B5B">
        <w:rPr>
          <w:rFonts w:ascii="Times New Roman" w:hAnsi="Times New Roman"/>
          <w:sz w:val="24"/>
          <w:szCs w:val="24"/>
        </w:rPr>
        <w:t xml:space="preserve">au minimum le personnel ci-dessous </w:t>
      </w:r>
      <w:r w:rsidRPr="0054770D">
        <w:rPr>
          <w:rFonts w:ascii="Times New Roman" w:hAnsi="Times New Roman"/>
          <w:sz w:val="24"/>
          <w:szCs w:val="24"/>
        </w:rPr>
        <w:t>:</w:t>
      </w:r>
    </w:p>
    <w:p w:rsidR="0017409D" w:rsidRPr="00050BE6" w:rsidRDefault="0017409D" w:rsidP="0017409D">
      <w:pPr>
        <w:numPr>
          <w:ilvl w:val="0"/>
          <w:numId w:val="31"/>
        </w:numPr>
        <w:tabs>
          <w:tab w:val="left" w:pos="720"/>
          <w:tab w:val="left" w:pos="1260"/>
        </w:tabs>
        <w:spacing w:after="0" w:line="360" w:lineRule="atLeast"/>
        <w:ind w:left="900" w:hanging="10"/>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Un (01) expert-comptable diplômé titulaire du diplôme d’expertise comptable (Directeur de la mission) disposant d'au moins dix (10) années  d'expérience dont </w:t>
      </w:r>
      <w:r>
        <w:rPr>
          <w:rFonts w:ascii="Times New Roman" w:eastAsia="Times New Roman" w:hAnsi="Times New Roman"/>
          <w:sz w:val="24"/>
          <w:szCs w:val="20"/>
        </w:rPr>
        <w:t xml:space="preserve">au moins </w:t>
      </w:r>
      <w:r w:rsidRPr="00050BE6">
        <w:rPr>
          <w:rFonts w:ascii="Times New Roman" w:eastAsia="Times New Roman" w:hAnsi="Times New Roman"/>
          <w:sz w:val="24"/>
          <w:szCs w:val="20"/>
        </w:rPr>
        <w:t>cinq (5) années en audit de projets/programmes financés par la Banque mondiale ou d'autres partenaires au développement ;</w:t>
      </w:r>
    </w:p>
    <w:p w:rsidR="0017409D" w:rsidRPr="00050BE6" w:rsidRDefault="005833B2" w:rsidP="0017409D">
      <w:pPr>
        <w:numPr>
          <w:ilvl w:val="0"/>
          <w:numId w:val="31"/>
        </w:numPr>
        <w:tabs>
          <w:tab w:val="left" w:pos="720"/>
          <w:tab w:val="left" w:pos="1260"/>
        </w:tabs>
        <w:spacing w:after="0" w:line="360" w:lineRule="atLeast"/>
        <w:ind w:left="900" w:hanging="10"/>
        <w:jc w:val="both"/>
        <w:rPr>
          <w:rFonts w:ascii="Times New Roman" w:eastAsia="Times New Roman" w:hAnsi="Times New Roman"/>
          <w:sz w:val="24"/>
          <w:szCs w:val="20"/>
        </w:rPr>
      </w:pPr>
      <w:r w:rsidRPr="00050BE6">
        <w:rPr>
          <w:rFonts w:ascii="Times New Roman" w:eastAsia="Times New Roman" w:hAnsi="Times New Roman"/>
          <w:sz w:val="24"/>
          <w:szCs w:val="20"/>
        </w:rPr>
        <w:t>Un (</w:t>
      </w:r>
      <w:r w:rsidR="00490053">
        <w:rPr>
          <w:rFonts w:ascii="Times New Roman" w:eastAsia="Times New Roman" w:hAnsi="Times New Roman"/>
          <w:sz w:val="24"/>
          <w:szCs w:val="20"/>
        </w:rPr>
        <w:t>01) </w:t>
      </w:r>
      <w:r w:rsidR="0017409D" w:rsidRPr="00050BE6">
        <w:rPr>
          <w:rFonts w:ascii="Times New Roman" w:eastAsia="Times New Roman" w:hAnsi="Times New Roman"/>
          <w:sz w:val="24"/>
          <w:szCs w:val="20"/>
        </w:rPr>
        <w:t xml:space="preserve">Chef de mission, ayant au moins un diplôme niveau BAC + </w:t>
      </w:r>
      <w:r w:rsidR="00376E58">
        <w:rPr>
          <w:rFonts w:ascii="Times New Roman" w:eastAsia="Times New Roman" w:hAnsi="Times New Roman"/>
          <w:sz w:val="24"/>
          <w:szCs w:val="20"/>
        </w:rPr>
        <w:t>5</w:t>
      </w:r>
      <w:r w:rsidR="0017409D" w:rsidRPr="00050BE6">
        <w:rPr>
          <w:rFonts w:ascii="Times New Roman" w:eastAsia="Times New Roman" w:hAnsi="Times New Roman"/>
          <w:sz w:val="24"/>
          <w:szCs w:val="20"/>
        </w:rPr>
        <w:t xml:space="preserve"> ou plus en audit, comptabilité et justifiant d’une expérience de </w:t>
      </w:r>
      <w:r w:rsidR="00376E58">
        <w:rPr>
          <w:rFonts w:ascii="Times New Roman" w:eastAsia="Times New Roman" w:hAnsi="Times New Roman"/>
          <w:sz w:val="24"/>
          <w:szCs w:val="20"/>
        </w:rPr>
        <w:t xml:space="preserve">sept </w:t>
      </w:r>
      <w:r w:rsidR="0017409D" w:rsidRPr="00050BE6">
        <w:rPr>
          <w:rFonts w:ascii="Times New Roman" w:eastAsia="Times New Roman" w:hAnsi="Times New Roman"/>
          <w:sz w:val="24"/>
          <w:szCs w:val="20"/>
        </w:rPr>
        <w:t>(</w:t>
      </w:r>
      <w:r w:rsidR="00376E58">
        <w:rPr>
          <w:rFonts w:ascii="Times New Roman" w:eastAsia="Times New Roman" w:hAnsi="Times New Roman"/>
          <w:sz w:val="24"/>
          <w:szCs w:val="20"/>
        </w:rPr>
        <w:t>7</w:t>
      </w:r>
      <w:r w:rsidR="0017409D" w:rsidRPr="00050BE6">
        <w:rPr>
          <w:rFonts w:ascii="Times New Roman" w:eastAsia="Times New Roman" w:hAnsi="Times New Roman"/>
          <w:sz w:val="24"/>
          <w:szCs w:val="20"/>
        </w:rPr>
        <w:t>) ans au moins d’audit financier</w:t>
      </w:r>
      <w:r w:rsidR="00490053">
        <w:rPr>
          <w:rFonts w:ascii="Times New Roman" w:eastAsia="Times New Roman" w:hAnsi="Times New Roman"/>
          <w:sz w:val="24"/>
          <w:szCs w:val="20"/>
        </w:rPr>
        <w:t xml:space="preserve"> </w:t>
      </w:r>
      <w:r w:rsidR="0017409D" w:rsidRPr="00050BE6">
        <w:rPr>
          <w:rFonts w:ascii="Times New Roman" w:eastAsia="Times New Roman" w:hAnsi="Times New Roman"/>
          <w:sz w:val="24"/>
          <w:szCs w:val="20"/>
        </w:rPr>
        <w:t>;</w:t>
      </w:r>
    </w:p>
    <w:p w:rsidR="0017409D" w:rsidRPr="00050BE6" w:rsidRDefault="0017409D" w:rsidP="0017409D">
      <w:pPr>
        <w:numPr>
          <w:ilvl w:val="0"/>
          <w:numId w:val="31"/>
        </w:numPr>
        <w:tabs>
          <w:tab w:val="left" w:pos="720"/>
          <w:tab w:val="left" w:pos="1260"/>
        </w:tabs>
        <w:spacing w:after="0" w:line="360" w:lineRule="atLeast"/>
        <w:ind w:left="900" w:hanging="10"/>
        <w:jc w:val="both"/>
        <w:rPr>
          <w:rFonts w:ascii="Times New Roman" w:eastAsia="Times New Roman" w:hAnsi="Times New Roman"/>
          <w:sz w:val="24"/>
          <w:szCs w:val="20"/>
        </w:rPr>
      </w:pPr>
      <w:r w:rsidRPr="00050BE6">
        <w:rPr>
          <w:rFonts w:ascii="Times New Roman" w:eastAsia="Times New Roman" w:hAnsi="Times New Roman"/>
          <w:sz w:val="24"/>
          <w:szCs w:val="20"/>
        </w:rPr>
        <w:t xml:space="preserve">Un (1) spécialiste en passation des marchés de niveau BAC + 4 au moins en Ingénierie, </w:t>
      </w:r>
      <w:r w:rsidR="00490053">
        <w:rPr>
          <w:rFonts w:ascii="Times New Roman" w:eastAsia="Times New Roman" w:hAnsi="Times New Roman"/>
          <w:sz w:val="24"/>
          <w:szCs w:val="20"/>
        </w:rPr>
        <w:t xml:space="preserve">Administration publique, Droit </w:t>
      </w:r>
      <w:r w:rsidRPr="00050BE6">
        <w:rPr>
          <w:rFonts w:ascii="Times New Roman" w:eastAsia="Times New Roman" w:hAnsi="Times New Roman"/>
          <w:sz w:val="24"/>
          <w:szCs w:val="20"/>
        </w:rPr>
        <w:t>com</w:t>
      </w:r>
      <w:r w:rsidR="00490053">
        <w:rPr>
          <w:rFonts w:ascii="Times New Roman" w:eastAsia="Times New Roman" w:hAnsi="Times New Roman"/>
          <w:sz w:val="24"/>
          <w:szCs w:val="20"/>
        </w:rPr>
        <w:t>mercial, ou Gestion, disposant d'au </w:t>
      </w:r>
      <w:r w:rsidRPr="00050BE6">
        <w:rPr>
          <w:rFonts w:ascii="Times New Roman" w:eastAsia="Times New Roman" w:hAnsi="Times New Roman"/>
          <w:sz w:val="24"/>
          <w:szCs w:val="20"/>
        </w:rPr>
        <w:t>moin</w:t>
      </w:r>
      <w:r w:rsidR="00490053">
        <w:rPr>
          <w:rFonts w:ascii="Times New Roman" w:eastAsia="Times New Roman" w:hAnsi="Times New Roman"/>
          <w:sz w:val="24"/>
          <w:szCs w:val="20"/>
        </w:rPr>
        <w:t>s cinq (5) années d'expérience </w:t>
      </w:r>
      <w:bookmarkStart w:id="1" w:name="_GoBack"/>
      <w:bookmarkEnd w:id="1"/>
      <w:r w:rsidRPr="00050BE6">
        <w:rPr>
          <w:rFonts w:ascii="Times New Roman" w:eastAsia="Times New Roman" w:hAnsi="Times New Roman"/>
          <w:sz w:val="24"/>
          <w:szCs w:val="20"/>
        </w:rPr>
        <w:t xml:space="preserve">dans le domaine de la passation des marchés </w:t>
      </w:r>
      <w:r w:rsidR="00376E58">
        <w:rPr>
          <w:rFonts w:ascii="Times New Roman" w:eastAsia="Times New Roman" w:hAnsi="Times New Roman"/>
          <w:sz w:val="24"/>
          <w:szCs w:val="20"/>
        </w:rPr>
        <w:t xml:space="preserve">et ayant réalisé au moins cinq (5) missions d’audit </w:t>
      </w:r>
      <w:r w:rsidRPr="00050BE6">
        <w:rPr>
          <w:rFonts w:ascii="Times New Roman" w:eastAsia="Times New Roman" w:hAnsi="Times New Roman"/>
          <w:sz w:val="24"/>
          <w:szCs w:val="20"/>
        </w:rPr>
        <w:t>des projet/programmes financés par la Banque mondiale ou d'autres partenaires au développement</w:t>
      </w:r>
      <w:r w:rsidR="00376E58" w:rsidRPr="00376E58">
        <w:rPr>
          <w:rFonts w:ascii="Times New Roman" w:eastAsia="Times New Roman" w:hAnsi="Times New Roman"/>
          <w:sz w:val="24"/>
          <w:szCs w:val="20"/>
        </w:rPr>
        <w:t xml:space="preserve"> </w:t>
      </w:r>
      <w:r w:rsidR="00376E58" w:rsidRPr="00050BE6">
        <w:rPr>
          <w:rFonts w:ascii="Times New Roman" w:eastAsia="Times New Roman" w:hAnsi="Times New Roman"/>
          <w:sz w:val="24"/>
          <w:szCs w:val="20"/>
        </w:rPr>
        <w:t>en qualité d’expert en passation des marchés pour</w:t>
      </w:r>
      <w:r w:rsidR="00376E58">
        <w:rPr>
          <w:rFonts w:ascii="Times New Roman" w:eastAsia="Times New Roman" w:hAnsi="Times New Roman"/>
          <w:sz w:val="24"/>
          <w:szCs w:val="20"/>
        </w:rPr>
        <w:t xml:space="preserve">.  </w:t>
      </w:r>
    </w:p>
    <w:p w:rsidR="0017409D" w:rsidRPr="00050BE6" w:rsidRDefault="00F63B5B" w:rsidP="0017409D">
      <w:pPr>
        <w:numPr>
          <w:ilvl w:val="0"/>
          <w:numId w:val="31"/>
        </w:numPr>
        <w:tabs>
          <w:tab w:val="left" w:pos="720"/>
          <w:tab w:val="left" w:pos="1260"/>
        </w:tabs>
        <w:spacing w:after="0" w:line="276" w:lineRule="auto"/>
        <w:ind w:left="900" w:hanging="10"/>
        <w:jc w:val="both"/>
        <w:rPr>
          <w:rFonts w:ascii="Times New Roman" w:eastAsia="Times New Roman" w:hAnsi="Times New Roman"/>
          <w:sz w:val="24"/>
          <w:szCs w:val="20"/>
        </w:rPr>
      </w:pPr>
      <w:r w:rsidRPr="00050BE6">
        <w:rPr>
          <w:rFonts w:ascii="Times New Roman" w:eastAsia="Times New Roman" w:hAnsi="Times New Roman"/>
          <w:sz w:val="24"/>
          <w:szCs w:val="20"/>
        </w:rPr>
        <w:t>Un</w:t>
      </w:r>
      <w:r w:rsidR="0017409D" w:rsidRPr="00050BE6">
        <w:rPr>
          <w:rFonts w:ascii="Times New Roman" w:eastAsia="Times New Roman" w:hAnsi="Times New Roman"/>
          <w:sz w:val="24"/>
          <w:szCs w:val="20"/>
        </w:rPr>
        <w:t xml:space="preserve"> (01) auditeur senior de niveau BAC + 4, </w:t>
      </w:r>
      <w:r w:rsidR="005833B2" w:rsidRPr="00050BE6">
        <w:rPr>
          <w:rFonts w:ascii="Times New Roman" w:eastAsia="Times New Roman" w:hAnsi="Times New Roman"/>
          <w:sz w:val="24"/>
          <w:szCs w:val="20"/>
        </w:rPr>
        <w:t>disposant d’au</w:t>
      </w:r>
      <w:r w:rsidR="0017409D" w:rsidRPr="00050BE6">
        <w:rPr>
          <w:rFonts w:ascii="Times New Roman" w:eastAsia="Times New Roman" w:hAnsi="Times New Roman"/>
          <w:sz w:val="24"/>
          <w:szCs w:val="20"/>
        </w:rPr>
        <w:t xml:space="preserve"> moins </w:t>
      </w:r>
      <w:r w:rsidR="00376E58">
        <w:rPr>
          <w:rFonts w:ascii="Times New Roman" w:eastAsia="Times New Roman" w:hAnsi="Times New Roman"/>
          <w:sz w:val="24"/>
          <w:szCs w:val="20"/>
        </w:rPr>
        <w:t xml:space="preserve">cinq </w:t>
      </w:r>
      <w:r w:rsidR="0017409D" w:rsidRPr="00050BE6">
        <w:rPr>
          <w:rFonts w:ascii="Times New Roman" w:eastAsia="Times New Roman" w:hAnsi="Times New Roman"/>
          <w:sz w:val="24"/>
          <w:szCs w:val="20"/>
        </w:rPr>
        <w:t>(</w:t>
      </w:r>
      <w:r w:rsidR="00376E58">
        <w:rPr>
          <w:rFonts w:ascii="Times New Roman" w:eastAsia="Times New Roman" w:hAnsi="Times New Roman"/>
          <w:sz w:val="24"/>
          <w:szCs w:val="20"/>
        </w:rPr>
        <w:t>5</w:t>
      </w:r>
      <w:r w:rsidR="0017409D" w:rsidRPr="00050BE6">
        <w:rPr>
          <w:rFonts w:ascii="Times New Roman" w:eastAsia="Times New Roman" w:hAnsi="Times New Roman"/>
          <w:sz w:val="24"/>
          <w:szCs w:val="20"/>
        </w:rPr>
        <w:t xml:space="preserve">) années d'expérience en cabinet d’audit dont trois (3) dans le domaine d’audit des projets financés par la banque mondiale ou d'autres partenaires au développement.                                                                 </w:t>
      </w:r>
    </w:p>
    <w:p w:rsidR="0017409D" w:rsidRPr="00050BE6" w:rsidRDefault="0017409D" w:rsidP="0017409D">
      <w:pPr>
        <w:spacing w:after="0" w:line="240" w:lineRule="auto"/>
        <w:jc w:val="both"/>
        <w:rPr>
          <w:rFonts w:ascii="Times New Roman" w:eastAsia="Times New Roman" w:hAnsi="Times New Roman"/>
          <w:sz w:val="24"/>
          <w:szCs w:val="20"/>
        </w:rPr>
      </w:pPr>
    </w:p>
    <w:p w:rsidR="0017409D" w:rsidRPr="00050BE6" w:rsidRDefault="0017409D" w:rsidP="0017409D">
      <w:pPr>
        <w:pStyle w:val="Paragraphedeliste"/>
        <w:numPr>
          <w:ilvl w:val="0"/>
          <w:numId w:val="27"/>
        </w:numPr>
        <w:spacing w:line="276" w:lineRule="auto"/>
        <w:rPr>
          <w:b/>
          <w:bCs/>
        </w:rPr>
      </w:pPr>
      <w:r w:rsidRPr="00050BE6">
        <w:rPr>
          <w:b/>
          <w:bCs/>
        </w:rPr>
        <w:t>DUREE DE LA MISSION</w:t>
      </w:r>
    </w:p>
    <w:p w:rsidR="0017409D" w:rsidRPr="0054770D" w:rsidRDefault="0017409D" w:rsidP="0017409D">
      <w:pPr>
        <w:tabs>
          <w:tab w:val="left" w:pos="720"/>
          <w:tab w:val="left" w:pos="1260"/>
        </w:tabs>
        <w:spacing w:after="0" w:line="360" w:lineRule="atLeast"/>
        <w:jc w:val="both"/>
        <w:rPr>
          <w:rFonts w:ascii="Times New Roman" w:eastAsia="Times New Roman" w:hAnsi="Times New Roman"/>
          <w:sz w:val="24"/>
          <w:szCs w:val="20"/>
        </w:rPr>
      </w:pPr>
      <w:r w:rsidRPr="0054770D">
        <w:rPr>
          <w:rFonts w:ascii="Times New Roman" w:eastAsia="Times New Roman" w:hAnsi="Times New Roman"/>
          <w:sz w:val="24"/>
          <w:szCs w:val="20"/>
        </w:rPr>
        <w:t>A ce titre, le cabinet d’audit signera un contrat couvrant la période des trois exercices mentionnés ci-avant. La reconduction tacite d’un exercice sur l’autre sera toutefois conditionnée à la qualité des travaux de l’auditeur sur l’année précédente tenant compte de l’avis du bailleur.</w:t>
      </w:r>
    </w:p>
    <w:p w:rsidR="0017409D" w:rsidRPr="0054770D" w:rsidRDefault="0017409D" w:rsidP="0017409D">
      <w:pPr>
        <w:pStyle w:val="Paragraphedeliste"/>
        <w:spacing w:line="276" w:lineRule="auto"/>
        <w:ind w:left="1080"/>
        <w:rPr>
          <w:b/>
          <w:bCs/>
          <w:lang w:val="fr-FR"/>
        </w:rPr>
      </w:pPr>
    </w:p>
    <w:p w:rsidR="0017409D" w:rsidRPr="00050BE6" w:rsidRDefault="0017409D" w:rsidP="0017409D">
      <w:pPr>
        <w:spacing w:after="0" w:line="240" w:lineRule="auto"/>
        <w:jc w:val="both"/>
        <w:rPr>
          <w:rFonts w:ascii="Times New Roman" w:eastAsia="Times New Roman" w:hAnsi="Times New Roman"/>
          <w:bCs/>
          <w:sz w:val="24"/>
          <w:szCs w:val="20"/>
        </w:rPr>
      </w:pPr>
      <w:r w:rsidRPr="00050BE6">
        <w:rPr>
          <w:rFonts w:ascii="Times New Roman" w:eastAsia="Times New Roman" w:hAnsi="Times New Roman"/>
          <w:bCs/>
          <w:sz w:val="24"/>
          <w:szCs w:val="20"/>
        </w:rPr>
        <w:t xml:space="preserve">La durée </w:t>
      </w:r>
      <w:r w:rsidR="00376E58">
        <w:rPr>
          <w:rFonts w:ascii="Times New Roman" w:eastAsia="Times New Roman" w:hAnsi="Times New Roman"/>
          <w:bCs/>
          <w:sz w:val="24"/>
          <w:szCs w:val="20"/>
        </w:rPr>
        <w:t xml:space="preserve">estimée </w:t>
      </w:r>
      <w:r w:rsidRPr="00050BE6">
        <w:rPr>
          <w:rFonts w:ascii="Times New Roman" w:eastAsia="Times New Roman" w:hAnsi="Times New Roman"/>
          <w:bCs/>
          <w:sz w:val="24"/>
          <w:szCs w:val="20"/>
        </w:rPr>
        <w:t>de la mission</w:t>
      </w:r>
      <w:r w:rsidR="00376E58">
        <w:rPr>
          <w:rFonts w:ascii="Times New Roman" w:eastAsia="Times New Roman" w:hAnsi="Times New Roman"/>
          <w:bCs/>
          <w:sz w:val="24"/>
          <w:szCs w:val="20"/>
        </w:rPr>
        <w:t xml:space="preserve"> est de 21 jours par exercice.</w:t>
      </w:r>
    </w:p>
    <w:p w:rsidR="0017409D" w:rsidRPr="00050BE6" w:rsidRDefault="0017409D" w:rsidP="0017409D">
      <w:pPr>
        <w:spacing w:after="0" w:line="240" w:lineRule="auto"/>
        <w:jc w:val="both"/>
        <w:rPr>
          <w:rFonts w:ascii="Times New Roman" w:eastAsia="Times New Roman" w:hAnsi="Times New Roman"/>
          <w:bCs/>
          <w:sz w:val="24"/>
          <w:szCs w:val="20"/>
        </w:rPr>
      </w:pPr>
    </w:p>
    <w:p w:rsidR="00731A1A" w:rsidRDefault="0017409D" w:rsidP="006B181F">
      <w:pPr>
        <w:spacing w:after="0" w:line="240" w:lineRule="auto"/>
        <w:jc w:val="both"/>
        <w:rPr>
          <w:rFonts w:ascii="Calibri" w:eastAsia="Calibri" w:hAnsi="Calibri" w:cs="Arial"/>
          <w:color w:val="000000"/>
        </w:rPr>
      </w:pPr>
      <w:r w:rsidRPr="00050BE6">
        <w:rPr>
          <w:rFonts w:ascii="Times New Roman" w:eastAsia="Times New Roman" w:hAnsi="Times New Roman"/>
          <w:b/>
          <w:bCs/>
          <w:i/>
          <w:sz w:val="24"/>
          <w:szCs w:val="20"/>
        </w:rPr>
        <w:t>Lieu </w:t>
      </w:r>
      <w:r w:rsidRPr="00050BE6">
        <w:rPr>
          <w:rFonts w:ascii="Times New Roman" w:eastAsia="Times New Roman" w:hAnsi="Times New Roman"/>
          <w:sz w:val="24"/>
          <w:szCs w:val="20"/>
        </w:rPr>
        <w:t>:</w:t>
      </w:r>
      <w:r w:rsidRPr="00050BE6">
        <w:rPr>
          <w:rFonts w:ascii="Times New Roman" w:eastAsia="Times New Roman" w:hAnsi="Times New Roman"/>
          <w:sz w:val="24"/>
          <w:szCs w:val="20"/>
        </w:rPr>
        <w:tab/>
      </w:r>
      <w:r>
        <w:rPr>
          <w:rFonts w:ascii="Times New Roman" w:eastAsia="Times New Roman" w:hAnsi="Times New Roman"/>
          <w:sz w:val="24"/>
          <w:szCs w:val="20"/>
        </w:rPr>
        <w:t>UGP</w:t>
      </w:r>
      <w:r w:rsidRPr="00050BE6">
        <w:rPr>
          <w:rFonts w:ascii="Times New Roman" w:eastAsia="Times New Roman" w:hAnsi="Times New Roman"/>
          <w:sz w:val="24"/>
          <w:szCs w:val="20"/>
        </w:rPr>
        <w:t xml:space="preserve"> </w:t>
      </w:r>
      <w:r>
        <w:rPr>
          <w:rFonts w:ascii="Times New Roman" w:eastAsia="Times New Roman" w:hAnsi="Times New Roman"/>
          <w:sz w:val="24"/>
          <w:szCs w:val="20"/>
        </w:rPr>
        <w:t>du PARIIS</w:t>
      </w:r>
      <w:r w:rsidR="00D15554">
        <w:rPr>
          <w:rFonts w:ascii="Times New Roman" w:eastAsia="Times New Roman" w:hAnsi="Times New Roman"/>
          <w:sz w:val="24"/>
          <w:szCs w:val="20"/>
        </w:rPr>
        <w:t xml:space="preserve"> </w:t>
      </w:r>
      <w:r w:rsidRPr="00050BE6">
        <w:rPr>
          <w:rFonts w:ascii="Times New Roman" w:eastAsia="Times New Roman" w:hAnsi="Times New Roman"/>
          <w:sz w:val="24"/>
          <w:szCs w:val="20"/>
        </w:rPr>
        <w:t xml:space="preserve">à Bamako. </w:t>
      </w:r>
    </w:p>
    <w:sectPr w:rsidR="00731A1A" w:rsidSect="005B11D6">
      <w:footerReference w:type="default" r:id="rId21"/>
      <w:pgSz w:w="11906" w:h="16838"/>
      <w:pgMar w:top="1417" w:right="1417" w:bottom="1417" w:left="1417"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675" w:rsidRDefault="00B60675" w:rsidP="002C0843">
      <w:pPr>
        <w:spacing w:after="0" w:line="240" w:lineRule="auto"/>
      </w:pPr>
      <w:r>
        <w:separator/>
      </w:r>
    </w:p>
  </w:endnote>
  <w:endnote w:type="continuationSeparator" w:id="0">
    <w:p w:rsidR="00B60675" w:rsidRDefault="00B60675" w:rsidP="002C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11" w:rsidRDefault="00844B1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09D" w:rsidRDefault="0017409D">
    <w:pPr>
      <w:pStyle w:val="Pieddepage"/>
      <w:jc w:val="right"/>
    </w:pPr>
    <w:r>
      <w:fldChar w:fldCharType="begin"/>
    </w:r>
    <w:r>
      <w:instrText>PAGE   \* MERGEFORMAT</w:instrText>
    </w:r>
    <w:r>
      <w:fldChar w:fldCharType="separate"/>
    </w:r>
    <w:r w:rsidR="00490053">
      <w:rPr>
        <w:noProof/>
      </w:rPr>
      <w:t>1</w:t>
    </w:r>
    <w:r>
      <w:fldChar w:fldCharType="end"/>
    </w:r>
  </w:p>
  <w:p w:rsidR="0017409D" w:rsidRDefault="0017409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11" w:rsidRDefault="00844B11">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509948"/>
      <w:docPartObj>
        <w:docPartGallery w:val="Page Numbers (Bottom of Page)"/>
        <w:docPartUnique/>
      </w:docPartObj>
    </w:sdtPr>
    <w:sdtEndPr>
      <w:rPr>
        <w:noProof/>
      </w:rPr>
    </w:sdtEndPr>
    <w:sdtContent>
      <w:p w:rsidR="00DC3CB8" w:rsidRDefault="003938A3">
        <w:pPr>
          <w:pStyle w:val="Pieddepage"/>
          <w:jc w:val="center"/>
        </w:pPr>
        <w:r>
          <w:fldChar w:fldCharType="begin"/>
        </w:r>
        <w:r w:rsidR="00DC3CB8">
          <w:instrText xml:space="preserve"> PAGE   \* MERGEFORMAT </w:instrText>
        </w:r>
        <w:r>
          <w:fldChar w:fldCharType="separate"/>
        </w:r>
        <w:r w:rsidR="00490053">
          <w:rPr>
            <w:noProof/>
          </w:rPr>
          <w:t>9</w:t>
        </w:r>
        <w:r>
          <w:rPr>
            <w:noProof/>
          </w:rPr>
          <w:fldChar w:fldCharType="end"/>
        </w:r>
      </w:p>
    </w:sdtContent>
  </w:sdt>
  <w:p w:rsidR="00DC3CB8" w:rsidRDefault="00DC3CB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675" w:rsidRDefault="00B60675" w:rsidP="002C0843">
      <w:pPr>
        <w:spacing w:after="0" w:line="240" w:lineRule="auto"/>
      </w:pPr>
      <w:r>
        <w:separator/>
      </w:r>
    </w:p>
  </w:footnote>
  <w:footnote w:type="continuationSeparator" w:id="0">
    <w:p w:rsidR="00B60675" w:rsidRDefault="00B60675" w:rsidP="002C0843">
      <w:pPr>
        <w:spacing w:after="0" w:line="240" w:lineRule="auto"/>
      </w:pPr>
      <w:r>
        <w:continuationSeparator/>
      </w:r>
    </w:p>
  </w:footnote>
  <w:footnote w:id="1">
    <w:p w:rsidR="00EC4E5A" w:rsidRPr="002053D1" w:rsidRDefault="00EC4E5A" w:rsidP="00EC4E5A">
      <w:pPr>
        <w:pStyle w:val="Notedebasdepage"/>
      </w:pPr>
      <w:r>
        <w:rPr>
          <w:rStyle w:val="Appelnotedebasdep"/>
        </w:rPr>
        <w:footnoteRef/>
      </w:r>
      <w:r w:rsidRPr="00725071">
        <w:t xml:space="preserve"> </w:t>
      </w:r>
      <w:r>
        <w:t>DNH, 2002</w:t>
      </w:r>
    </w:p>
  </w:footnote>
  <w:footnote w:id="2">
    <w:p w:rsidR="00EC4E5A" w:rsidRPr="002053D1" w:rsidRDefault="00EC4E5A" w:rsidP="00EC4E5A">
      <w:pPr>
        <w:pStyle w:val="Notedebasdepage"/>
      </w:pPr>
      <w:r>
        <w:rPr>
          <w:rStyle w:val="Appelnotedebasdep"/>
        </w:rPr>
        <w:footnoteRef/>
      </w:r>
      <w:r w:rsidRPr="00725071">
        <w:t xml:space="preserve"> </w:t>
      </w:r>
      <w:r>
        <w:t>DNGR, 1994</w:t>
      </w:r>
    </w:p>
  </w:footnote>
  <w:footnote w:id="3">
    <w:p w:rsidR="0017409D" w:rsidRPr="00D2076B" w:rsidRDefault="0017409D" w:rsidP="0017409D">
      <w:pPr>
        <w:pStyle w:val="Notedebasdepage"/>
        <w:jc w:val="both"/>
      </w:pPr>
      <w:r>
        <w:rPr>
          <w:rStyle w:val="Appelnotedebasdep"/>
        </w:rPr>
        <w:footnoteRef/>
      </w:r>
      <w:r w:rsidRPr="00D2076B">
        <w:t xml:space="preserve"> Dépendant de la complexité des activités de passation de marchés, l’auditeur intégrera dans son équipe, des experts techniques durant toute la durée du contrat. Dans un tel cas, l’auditeur se conformera aux dispositions de la norme </w:t>
      </w:r>
      <w:r w:rsidRPr="00D2076B">
        <w:rPr>
          <w:b/>
          <w:u w:val="single"/>
        </w:rPr>
        <w:t>ISA 620: Utilisation des travaux d’un expert</w:t>
      </w:r>
      <w:r w:rsidRPr="00D2076B">
        <w:t xml:space="preserve">. La nécessité d’utiliser les travaux d’experts devraient être portée suffisamment à l’avance à l’attention de l’emprunteur et de </w:t>
      </w:r>
      <w:smartTag w:uri="urn:schemas-microsoft-com:office:smarttags" w:element="PersonName">
        <w:smartTagPr>
          <w:attr w:name="ProductID" w:val="LA BANQUE MONDIALE"/>
        </w:smartTagPr>
        <w:r w:rsidRPr="00D2076B">
          <w:t>la Banque Mondiale</w:t>
        </w:r>
      </w:smartTag>
      <w:r w:rsidRPr="00D2076B">
        <w:t xml:space="preserve"> pour un agrément mutuel et des avis appropriés.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11" w:rsidRDefault="00844B11">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11" w:rsidRDefault="00844B11">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11" w:rsidRDefault="00844B1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47D"/>
      </v:shape>
    </w:pict>
  </w:numPicBullet>
  <w:abstractNum w:abstractNumId="0" w15:restartNumberingAfterBreak="0">
    <w:nsid w:val="003D4418"/>
    <w:multiLevelType w:val="hybridMultilevel"/>
    <w:tmpl w:val="748A37F8"/>
    <w:lvl w:ilvl="0" w:tplc="8570BF7E">
      <w:start w:val="1"/>
      <w:numFmt w:val="decimal"/>
      <w:lvlText w:val="%1."/>
      <w:lvlJc w:val="left"/>
      <w:pPr>
        <w:tabs>
          <w:tab w:val="num" w:pos="360"/>
        </w:tabs>
        <w:ind w:left="0" w:firstLine="0"/>
      </w:pPr>
      <w:rPr>
        <w:rFonts w:ascii="Times New Roman" w:eastAsia="Times New Roman" w:hAnsi="Times New Roman" w:cs="Times New Roman"/>
        <w:lang w:val="fr-FR"/>
      </w:rPr>
    </w:lvl>
    <w:lvl w:ilvl="1" w:tplc="E4B21D22">
      <w:start w:val="1"/>
      <w:numFmt w:val="lowerLetter"/>
      <w:lvlText w:val="(%2)"/>
      <w:lvlJc w:val="left"/>
      <w:pPr>
        <w:tabs>
          <w:tab w:val="num" w:pos="720"/>
        </w:tabs>
        <w:ind w:left="1080" w:firstLine="0"/>
      </w:pPr>
      <w:rPr>
        <w:rFonts w:hint="default"/>
      </w:rPr>
    </w:lvl>
    <w:lvl w:ilvl="2" w:tplc="73C4CA50">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D33819"/>
    <w:multiLevelType w:val="hybridMultilevel"/>
    <w:tmpl w:val="CAEA00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923245"/>
    <w:multiLevelType w:val="hybridMultilevel"/>
    <w:tmpl w:val="86A293A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F01534"/>
    <w:multiLevelType w:val="hybridMultilevel"/>
    <w:tmpl w:val="06D8DD28"/>
    <w:lvl w:ilvl="0" w:tplc="D7AA114C">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C6460D"/>
    <w:multiLevelType w:val="hybridMultilevel"/>
    <w:tmpl w:val="4EACAEA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1010711D"/>
    <w:multiLevelType w:val="hybridMultilevel"/>
    <w:tmpl w:val="FE24667E"/>
    <w:lvl w:ilvl="0" w:tplc="040C0001">
      <w:start w:val="1"/>
      <w:numFmt w:val="bullet"/>
      <w:lvlText w:val=""/>
      <w:lvlJc w:val="left"/>
      <w:pPr>
        <w:ind w:left="502" w:hanging="360"/>
      </w:pPr>
      <w:rPr>
        <w:rFonts w:ascii="Symbol" w:hAnsi="Symbol" w:hint="default"/>
      </w:rPr>
    </w:lvl>
    <w:lvl w:ilvl="1" w:tplc="90A232CA">
      <w:start w:val="1"/>
      <w:numFmt w:val="lowerRoman"/>
      <w:lvlText w:val="(%2)"/>
      <w:lvlJc w:val="left"/>
      <w:pPr>
        <w:ind w:left="1582" w:hanging="720"/>
      </w:pPr>
      <w:rPr>
        <w:rFonts w:hint="default"/>
      </w:r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12A27F64"/>
    <w:multiLevelType w:val="hybridMultilevel"/>
    <w:tmpl w:val="C6C05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E64056"/>
    <w:multiLevelType w:val="hybridMultilevel"/>
    <w:tmpl w:val="C570D3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BCC060A"/>
    <w:multiLevelType w:val="hybridMultilevel"/>
    <w:tmpl w:val="D786B1EA"/>
    <w:lvl w:ilvl="0" w:tplc="FB9AC8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653E3"/>
    <w:multiLevelType w:val="hybridMultilevel"/>
    <w:tmpl w:val="00AAE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FC220D"/>
    <w:multiLevelType w:val="hybridMultilevel"/>
    <w:tmpl w:val="F6AE2C2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1" w15:restartNumberingAfterBreak="0">
    <w:nsid w:val="1DAC0556"/>
    <w:multiLevelType w:val="hybridMultilevel"/>
    <w:tmpl w:val="D6F61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E049C4"/>
    <w:multiLevelType w:val="hybridMultilevel"/>
    <w:tmpl w:val="7750A8A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423548"/>
    <w:multiLevelType w:val="multilevel"/>
    <w:tmpl w:val="AD145AA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1E1D0A"/>
    <w:multiLevelType w:val="hybridMultilevel"/>
    <w:tmpl w:val="0484A944"/>
    <w:lvl w:ilvl="0" w:tplc="183868AC">
      <w:start w:val="1"/>
      <w:numFmt w:val="decimal"/>
      <w:lvlText w:val="%1."/>
      <w:lvlJc w:val="left"/>
      <w:pPr>
        <w:ind w:left="360" w:hanging="360"/>
      </w:pPr>
      <w:rPr>
        <w:sz w:val="20"/>
        <w:szCs w:val="20"/>
      </w:rPr>
    </w:lvl>
    <w:lvl w:ilvl="1" w:tplc="404E6A30">
      <w:start w:val="1"/>
      <w:numFmt w:val="lowerRoman"/>
      <w:lvlText w:val="(%2)"/>
      <w:lvlJc w:val="left"/>
      <w:pPr>
        <w:ind w:left="1080" w:hanging="360"/>
      </w:pPr>
      <w:rPr>
        <w:rFonts w:asciiTheme="minorHAnsi" w:eastAsiaTheme="minorHAnsi" w:hAnsiTheme="minorHAnsi" w:cs="Arial"/>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E3AFF"/>
    <w:multiLevelType w:val="hybridMultilevel"/>
    <w:tmpl w:val="DD0A7FA2"/>
    <w:lvl w:ilvl="0" w:tplc="663813C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77016D"/>
    <w:multiLevelType w:val="hybridMultilevel"/>
    <w:tmpl w:val="E8548C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A4B66"/>
    <w:multiLevelType w:val="hybridMultilevel"/>
    <w:tmpl w:val="75525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757C0B"/>
    <w:multiLevelType w:val="hybridMultilevel"/>
    <w:tmpl w:val="F5F20B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A11E45"/>
    <w:multiLevelType w:val="hybridMultilevel"/>
    <w:tmpl w:val="A58ECA2E"/>
    <w:lvl w:ilvl="0" w:tplc="86FC0188">
      <w:start w:val="1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9A0D8C"/>
    <w:multiLevelType w:val="hybridMultilevel"/>
    <w:tmpl w:val="AA2AC058"/>
    <w:lvl w:ilvl="0" w:tplc="04090017">
      <w:start w:val="1"/>
      <w:numFmt w:val="lowerLetter"/>
      <w:lvlText w:val="%1)"/>
      <w:lvlJc w:val="left"/>
      <w:pPr>
        <w:tabs>
          <w:tab w:val="num" w:pos="1440"/>
        </w:tabs>
        <w:ind w:left="1440" w:hanging="360"/>
      </w:pPr>
      <w:rPr>
        <w:rFonts w:hint="default"/>
      </w:rPr>
    </w:lvl>
    <w:lvl w:ilvl="1" w:tplc="893E782A">
      <w:start w:val="7"/>
      <w:numFmt w:val="bullet"/>
      <w:lvlText w:val="-"/>
      <w:lvlJc w:val="left"/>
      <w:pPr>
        <w:tabs>
          <w:tab w:val="num" w:pos="2160"/>
        </w:tabs>
        <w:ind w:left="2160" w:hanging="360"/>
      </w:pPr>
      <w:rPr>
        <w:rFonts w:ascii="Tms Rmn" w:eastAsia="Times New Roman" w:hAnsi="Tms Rmn"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53718"/>
    <w:multiLevelType w:val="hybridMultilevel"/>
    <w:tmpl w:val="99083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375F4A"/>
    <w:multiLevelType w:val="multilevel"/>
    <w:tmpl w:val="BB90073C"/>
    <w:lvl w:ilvl="0">
      <w:start w:val="1"/>
      <w:numFmt w:val="upperRoman"/>
      <w:lvlText w:val="%1."/>
      <w:lvlJc w:val="left"/>
      <w:pPr>
        <w:ind w:left="720" w:hanging="720"/>
      </w:pPr>
      <w:rPr>
        <w:rFonts w:hint="default"/>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BC7818"/>
    <w:multiLevelType w:val="multilevel"/>
    <w:tmpl w:val="518E17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E641B1"/>
    <w:multiLevelType w:val="hybridMultilevel"/>
    <w:tmpl w:val="D22EDD90"/>
    <w:lvl w:ilvl="0" w:tplc="5BD452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5528D1"/>
    <w:multiLevelType w:val="hybridMultilevel"/>
    <w:tmpl w:val="E0E07620"/>
    <w:lvl w:ilvl="0" w:tplc="22823C7A">
      <w:start w:val="1"/>
      <w:numFmt w:val="lowerLetter"/>
      <w:lvlText w:val="%1."/>
      <w:lvlJc w:val="left"/>
      <w:pPr>
        <w:tabs>
          <w:tab w:val="num" w:pos="360"/>
        </w:tabs>
        <w:ind w:left="79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855CC5"/>
    <w:multiLevelType w:val="hybridMultilevel"/>
    <w:tmpl w:val="583EAAC8"/>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34A0DE6"/>
    <w:multiLevelType w:val="hybridMultilevel"/>
    <w:tmpl w:val="27AC3F20"/>
    <w:lvl w:ilvl="0" w:tplc="35325130">
      <w:start w:val="1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7B41A0"/>
    <w:multiLevelType w:val="hybridMultilevel"/>
    <w:tmpl w:val="C9F41EA2"/>
    <w:lvl w:ilvl="0" w:tplc="040C0017">
      <w:start w:val="1"/>
      <w:numFmt w:val="bullet"/>
      <w:lvlText w:val=""/>
      <w:lvlJc w:val="left"/>
      <w:pPr>
        <w:tabs>
          <w:tab w:val="num" w:pos="148"/>
        </w:tabs>
        <w:ind w:left="-192" w:firstLine="170"/>
      </w:pPr>
      <w:rPr>
        <w:rFonts w:ascii="Wingdings" w:hAnsi="Wingdings" w:hint="default"/>
        <w:b/>
      </w:rPr>
    </w:lvl>
    <w:lvl w:ilvl="1" w:tplc="040C0019" w:tentative="1">
      <w:start w:val="1"/>
      <w:numFmt w:val="bullet"/>
      <w:lvlText w:val="o"/>
      <w:lvlJc w:val="left"/>
      <w:pPr>
        <w:tabs>
          <w:tab w:val="num" w:pos="1248"/>
        </w:tabs>
        <w:ind w:left="1248" w:hanging="360"/>
      </w:pPr>
      <w:rPr>
        <w:rFonts w:ascii="Courier New" w:hAnsi="Courier New" w:cs="Courier New" w:hint="default"/>
      </w:rPr>
    </w:lvl>
    <w:lvl w:ilvl="2" w:tplc="040C001B" w:tentative="1">
      <w:start w:val="1"/>
      <w:numFmt w:val="bullet"/>
      <w:lvlText w:val=""/>
      <w:lvlJc w:val="left"/>
      <w:pPr>
        <w:tabs>
          <w:tab w:val="num" w:pos="1968"/>
        </w:tabs>
        <w:ind w:left="1968" w:hanging="360"/>
      </w:pPr>
      <w:rPr>
        <w:rFonts w:ascii="Wingdings" w:hAnsi="Wingdings" w:hint="default"/>
      </w:rPr>
    </w:lvl>
    <w:lvl w:ilvl="3" w:tplc="040C000F" w:tentative="1">
      <w:start w:val="1"/>
      <w:numFmt w:val="bullet"/>
      <w:lvlText w:val=""/>
      <w:lvlJc w:val="left"/>
      <w:pPr>
        <w:tabs>
          <w:tab w:val="num" w:pos="2688"/>
        </w:tabs>
        <w:ind w:left="2688" w:hanging="360"/>
      </w:pPr>
      <w:rPr>
        <w:rFonts w:ascii="Symbol" w:hAnsi="Symbol" w:hint="default"/>
      </w:rPr>
    </w:lvl>
    <w:lvl w:ilvl="4" w:tplc="040C0019" w:tentative="1">
      <w:start w:val="1"/>
      <w:numFmt w:val="bullet"/>
      <w:lvlText w:val="o"/>
      <w:lvlJc w:val="left"/>
      <w:pPr>
        <w:tabs>
          <w:tab w:val="num" w:pos="3408"/>
        </w:tabs>
        <w:ind w:left="3408" w:hanging="360"/>
      </w:pPr>
      <w:rPr>
        <w:rFonts w:ascii="Courier New" w:hAnsi="Courier New" w:cs="Courier New" w:hint="default"/>
      </w:rPr>
    </w:lvl>
    <w:lvl w:ilvl="5" w:tplc="040C001B" w:tentative="1">
      <w:start w:val="1"/>
      <w:numFmt w:val="bullet"/>
      <w:lvlText w:val=""/>
      <w:lvlJc w:val="left"/>
      <w:pPr>
        <w:tabs>
          <w:tab w:val="num" w:pos="4128"/>
        </w:tabs>
        <w:ind w:left="4128" w:hanging="360"/>
      </w:pPr>
      <w:rPr>
        <w:rFonts w:ascii="Wingdings" w:hAnsi="Wingdings" w:hint="default"/>
      </w:rPr>
    </w:lvl>
    <w:lvl w:ilvl="6" w:tplc="040C000F" w:tentative="1">
      <w:start w:val="1"/>
      <w:numFmt w:val="bullet"/>
      <w:lvlText w:val=""/>
      <w:lvlJc w:val="left"/>
      <w:pPr>
        <w:tabs>
          <w:tab w:val="num" w:pos="4848"/>
        </w:tabs>
        <w:ind w:left="4848" w:hanging="360"/>
      </w:pPr>
      <w:rPr>
        <w:rFonts w:ascii="Symbol" w:hAnsi="Symbol" w:hint="default"/>
      </w:rPr>
    </w:lvl>
    <w:lvl w:ilvl="7" w:tplc="040C0019" w:tentative="1">
      <w:start w:val="1"/>
      <w:numFmt w:val="bullet"/>
      <w:lvlText w:val="o"/>
      <w:lvlJc w:val="left"/>
      <w:pPr>
        <w:tabs>
          <w:tab w:val="num" w:pos="5568"/>
        </w:tabs>
        <w:ind w:left="5568" w:hanging="360"/>
      </w:pPr>
      <w:rPr>
        <w:rFonts w:ascii="Courier New" w:hAnsi="Courier New" w:cs="Courier New" w:hint="default"/>
      </w:rPr>
    </w:lvl>
    <w:lvl w:ilvl="8" w:tplc="040C001B" w:tentative="1">
      <w:start w:val="1"/>
      <w:numFmt w:val="bullet"/>
      <w:lvlText w:val=""/>
      <w:lvlJc w:val="left"/>
      <w:pPr>
        <w:tabs>
          <w:tab w:val="num" w:pos="6288"/>
        </w:tabs>
        <w:ind w:left="6288" w:hanging="360"/>
      </w:pPr>
      <w:rPr>
        <w:rFonts w:ascii="Wingdings" w:hAnsi="Wingdings" w:hint="default"/>
      </w:rPr>
    </w:lvl>
  </w:abstractNum>
  <w:abstractNum w:abstractNumId="30" w15:restartNumberingAfterBreak="0">
    <w:nsid w:val="57A21941"/>
    <w:multiLevelType w:val="hybridMultilevel"/>
    <w:tmpl w:val="35B84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F03DCD"/>
    <w:multiLevelType w:val="hybridMultilevel"/>
    <w:tmpl w:val="FE1AF8EC"/>
    <w:lvl w:ilvl="0" w:tplc="183868AC">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5D611960"/>
    <w:multiLevelType w:val="hybridMultilevel"/>
    <w:tmpl w:val="54F00EEA"/>
    <w:lvl w:ilvl="0" w:tplc="545E35C2">
      <w:start w:val="6"/>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05449F6"/>
    <w:multiLevelType w:val="hybridMultilevel"/>
    <w:tmpl w:val="09266EC0"/>
    <w:lvl w:ilvl="0" w:tplc="BF56D6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472335D"/>
    <w:multiLevelType w:val="hybridMultilevel"/>
    <w:tmpl w:val="E47ADF78"/>
    <w:lvl w:ilvl="0" w:tplc="0212ACCE">
      <w:numFmt w:val="bullet"/>
      <w:lvlText w:val="-"/>
      <w:lvlJc w:val="left"/>
      <w:pPr>
        <w:ind w:left="1440" w:hanging="360"/>
      </w:pPr>
      <w:rPr>
        <w:rFonts w:ascii="Arial" w:eastAsiaTheme="minorHAnsi" w:hAnsi="Arial" w:cs="Arial" w:hint="default"/>
        <w:b w:val="0"/>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5" w15:restartNumberingAfterBreak="0">
    <w:nsid w:val="669E7C00"/>
    <w:multiLevelType w:val="hybridMultilevel"/>
    <w:tmpl w:val="AD1EF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4E51BC"/>
    <w:multiLevelType w:val="hybridMultilevel"/>
    <w:tmpl w:val="CB481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DB0356C"/>
    <w:multiLevelType w:val="hybridMultilevel"/>
    <w:tmpl w:val="72FA743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6E435621"/>
    <w:multiLevelType w:val="hybridMultilevel"/>
    <w:tmpl w:val="CAC8E7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EB72F30"/>
    <w:multiLevelType w:val="hybridMultilevel"/>
    <w:tmpl w:val="2B026FEA"/>
    <w:lvl w:ilvl="0" w:tplc="040C0017">
      <w:start w:val="1"/>
      <w:numFmt w:val="lowerLetter"/>
      <w:lvlText w:val="%1)"/>
      <w:lvlJc w:val="left"/>
      <w:pPr>
        <w:tabs>
          <w:tab w:val="num" w:pos="720"/>
        </w:tabs>
        <w:ind w:left="720" w:hanging="360"/>
      </w:pPr>
    </w:lvl>
    <w:lvl w:ilvl="1" w:tplc="CC9C14DC">
      <w:start w:val="1"/>
      <w:numFmt w:val="lowerLetter"/>
      <w:lvlText w:val="%2)"/>
      <w:lvlJc w:val="left"/>
      <w:pPr>
        <w:tabs>
          <w:tab w:val="num" w:pos="1440"/>
        </w:tabs>
        <w:ind w:left="1440" w:hanging="360"/>
      </w:pPr>
      <w:rPr>
        <w:rFonts w:ascii="Garamond" w:eastAsia="Times New Roman" w:hAnsi="Garamond" w:cs="Times New Roman"/>
      </w:rPr>
    </w:lvl>
    <w:lvl w:ilvl="2" w:tplc="A2426EF6">
      <w:start w:val="1"/>
      <w:numFmt w:val="lowerLetter"/>
      <w:lvlText w:val="%3)"/>
      <w:lvlJc w:val="left"/>
      <w:pPr>
        <w:tabs>
          <w:tab w:val="num" w:pos="2340"/>
        </w:tabs>
        <w:ind w:left="2340" w:hanging="360"/>
      </w:pPr>
      <w:rPr>
        <w:rFonts w:ascii="Garamond" w:eastAsia="Times New Roman" w:hAnsi="Garamond" w:cs="Times New Roman"/>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2A20D25"/>
    <w:multiLevelType w:val="hybridMultilevel"/>
    <w:tmpl w:val="FE1AF8EC"/>
    <w:lvl w:ilvl="0" w:tplc="183868AC">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738A3DB9"/>
    <w:multiLevelType w:val="hybridMultilevel"/>
    <w:tmpl w:val="FE1AF8EC"/>
    <w:lvl w:ilvl="0" w:tplc="183868AC">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760741E8"/>
    <w:multiLevelType w:val="hybridMultilevel"/>
    <w:tmpl w:val="3CC482D6"/>
    <w:lvl w:ilvl="0" w:tplc="C5F8463A">
      <w:start w:val="1"/>
      <w:numFmt w:val="decimal"/>
      <w:lvlText w:val="%1."/>
      <w:lvlJc w:val="left"/>
      <w:pPr>
        <w:tabs>
          <w:tab w:val="num" w:pos="720"/>
        </w:tabs>
        <w:ind w:left="720" w:hanging="360"/>
      </w:pPr>
      <w:rPr>
        <w:b/>
      </w:rPr>
    </w:lvl>
    <w:lvl w:ilvl="1" w:tplc="86B69E78">
      <w:numFmt w:val="none"/>
      <w:lvlText w:val=""/>
      <w:lvlJc w:val="left"/>
      <w:pPr>
        <w:tabs>
          <w:tab w:val="num" w:pos="360"/>
        </w:tabs>
      </w:pPr>
    </w:lvl>
    <w:lvl w:ilvl="2" w:tplc="D7DC8AEE">
      <w:numFmt w:val="none"/>
      <w:lvlText w:val=""/>
      <w:lvlJc w:val="left"/>
      <w:pPr>
        <w:tabs>
          <w:tab w:val="num" w:pos="360"/>
        </w:tabs>
      </w:pPr>
    </w:lvl>
    <w:lvl w:ilvl="3" w:tplc="34DE70C6">
      <w:numFmt w:val="none"/>
      <w:lvlText w:val=""/>
      <w:lvlJc w:val="left"/>
      <w:pPr>
        <w:tabs>
          <w:tab w:val="num" w:pos="360"/>
        </w:tabs>
      </w:pPr>
    </w:lvl>
    <w:lvl w:ilvl="4" w:tplc="F3B8A32A">
      <w:numFmt w:val="none"/>
      <w:lvlText w:val=""/>
      <w:lvlJc w:val="left"/>
      <w:pPr>
        <w:tabs>
          <w:tab w:val="num" w:pos="360"/>
        </w:tabs>
      </w:pPr>
    </w:lvl>
    <w:lvl w:ilvl="5" w:tplc="01AC7AD6">
      <w:numFmt w:val="none"/>
      <w:lvlText w:val=""/>
      <w:lvlJc w:val="left"/>
      <w:pPr>
        <w:tabs>
          <w:tab w:val="num" w:pos="360"/>
        </w:tabs>
      </w:pPr>
    </w:lvl>
    <w:lvl w:ilvl="6" w:tplc="F020A1CA">
      <w:numFmt w:val="none"/>
      <w:lvlText w:val=""/>
      <w:lvlJc w:val="left"/>
      <w:pPr>
        <w:tabs>
          <w:tab w:val="num" w:pos="360"/>
        </w:tabs>
      </w:pPr>
    </w:lvl>
    <w:lvl w:ilvl="7" w:tplc="44C6BA18">
      <w:numFmt w:val="none"/>
      <w:lvlText w:val=""/>
      <w:lvlJc w:val="left"/>
      <w:pPr>
        <w:tabs>
          <w:tab w:val="num" w:pos="360"/>
        </w:tabs>
      </w:pPr>
    </w:lvl>
    <w:lvl w:ilvl="8" w:tplc="BD6EDE40">
      <w:numFmt w:val="none"/>
      <w:lvlText w:val=""/>
      <w:lvlJc w:val="left"/>
      <w:pPr>
        <w:tabs>
          <w:tab w:val="num" w:pos="360"/>
        </w:tabs>
      </w:pPr>
    </w:lvl>
  </w:abstractNum>
  <w:abstractNum w:abstractNumId="43" w15:restartNumberingAfterBreak="0">
    <w:nsid w:val="7B6D486F"/>
    <w:multiLevelType w:val="hybridMultilevel"/>
    <w:tmpl w:val="1DE08072"/>
    <w:lvl w:ilvl="0" w:tplc="C3C04F0C">
      <w:start w:val="1"/>
      <w:numFmt w:val="lowerLetter"/>
      <w:lvlText w:val="(%1)"/>
      <w:lvlJc w:val="left"/>
      <w:pPr>
        <w:tabs>
          <w:tab w:val="num" w:pos="1080"/>
        </w:tabs>
        <w:ind w:left="720" w:firstLine="0"/>
      </w:pPr>
      <w:rPr>
        <w:rFonts w:ascii="Times New Roman" w:eastAsiaTheme="minorHAnsi" w:hAnsi="Times New Roman" w:cs="Times New Roman" w:hint="default"/>
      </w:rPr>
    </w:lvl>
    <w:lvl w:ilvl="1" w:tplc="E4B21D22">
      <w:start w:val="1"/>
      <w:numFmt w:val="lowerLetter"/>
      <w:lvlText w:val="(%2)"/>
      <w:lvlJc w:val="left"/>
      <w:pPr>
        <w:tabs>
          <w:tab w:val="num" w:pos="1440"/>
        </w:tabs>
        <w:ind w:left="1800" w:firstLine="0"/>
      </w:pPr>
      <w:rPr>
        <w:rFonts w:hint="default"/>
      </w:rPr>
    </w:lvl>
    <w:lvl w:ilvl="2" w:tplc="73C4CA50">
      <w:start w:val="1"/>
      <w:numFmt w:val="lowerRoman"/>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7BBB059D"/>
    <w:multiLevelType w:val="hybridMultilevel"/>
    <w:tmpl w:val="91C6F9C4"/>
    <w:lvl w:ilvl="0" w:tplc="4DF2BD16">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45" w15:restartNumberingAfterBreak="0">
    <w:nsid w:val="7BFC4292"/>
    <w:multiLevelType w:val="hybridMultilevel"/>
    <w:tmpl w:val="E7706CFC"/>
    <w:lvl w:ilvl="0" w:tplc="ED3A930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6"/>
  </w:num>
  <w:num w:numId="4">
    <w:abstractNumId w:val="30"/>
  </w:num>
  <w:num w:numId="5">
    <w:abstractNumId w:val="14"/>
  </w:num>
  <w:num w:numId="6">
    <w:abstractNumId w:val="14"/>
  </w:num>
  <w:num w:numId="7">
    <w:abstractNumId w:val="31"/>
  </w:num>
  <w:num w:numId="8">
    <w:abstractNumId w:val="43"/>
  </w:num>
  <w:num w:numId="9">
    <w:abstractNumId w:val="41"/>
  </w:num>
  <w:num w:numId="10">
    <w:abstractNumId w:val="11"/>
  </w:num>
  <w:num w:numId="11">
    <w:abstractNumId w:val="40"/>
  </w:num>
  <w:num w:numId="12">
    <w:abstractNumId w:val="7"/>
  </w:num>
  <w:num w:numId="13">
    <w:abstractNumId w:val="38"/>
  </w:num>
  <w:num w:numId="14">
    <w:abstractNumId w:val="32"/>
  </w:num>
  <w:num w:numId="15">
    <w:abstractNumId w:val="9"/>
  </w:num>
  <w:num w:numId="16">
    <w:abstractNumId w:val="18"/>
  </w:num>
  <w:num w:numId="17">
    <w:abstractNumId w:val="3"/>
  </w:num>
  <w:num w:numId="18">
    <w:abstractNumId w:val="13"/>
  </w:num>
  <w:num w:numId="19">
    <w:abstractNumId w:val="34"/>
  </w:num>
  <w:num w:numId="20">
    <w:abstractNumId w:val="8"/>
  </w:num>
  <w:num w:numId="21">
    <w:abstractNumId w:val="12"/>
  </w:num>
  <w:num w:numId="22">
    <w:abstractNumId w:val="2"/>
  </w:num>
  <w:num w:numId="23">
    <w:abstractNumId w:val="28"/>
  </w:num>
  <w:num w:numId="24">
    <w:abstractNumId w:val="20"/>
  </w:num>
  <w:num w:numId="25">
    <w:abstractNumId w:val="36"/>
  </w:num>
  <w:num w:numId="26">
    <w:abstractNumId w:val="42"/>
  </w:num>
  <w:num w:numId="27">
    <w:abstractNumId w:val="23"/>
  </w:num>
  <w:num w:numId="28">
    <w:abstractNumId w:val="39"/>
  </w:num>
  <w:num w:numId="29">
    <w:abstractNumId w:val="27"/>
  </w:num>
  <w:num w:numId="30">
    <w:abstractNumId w:val="44"/>
  </w:num>
  <w:num w:numId="31">
    <w:abstractNumId w:val="29"/>
  </w:num>
  <w:num w:numId="32">
    <w:abstractNumId w:val="16"/>
  </w:num>
  <w:num w:numId="33">
    <w:abstractNumId w:val="25"/>
  </w:num>
  <w:num w:numId="34">
    <w:abstractNumId w:val="1"/>
  </w:num>
  <w:num w:numId="35">
    <w:abstractNumId w:val="45"/>
  </w:num>
  <w:num w:numId="36">
    <w:abstractNumId w:val="21"/>
  </w:num>
  <w:num w:numId="37">
    <w:abstractNumId w:val="33"/>
  </w:num>
  <w:num w:numId="38">
    <w:abstractNumId w:val="15"/>
  </w:num>
  <w:num w:numId="39">
    <w:abstractNumId w:val="17"/>
  </w:num>
  <w:num w:numId="40">
    <w:abstractNumId w:val="24"/>
  </w:num>
  <w:num w:numId="41">
    <w:abstractNumId w:val="4"/>
  </w:num>
  <w:num w:numId="42">
    <w:abstractNumId w:val="37"/>
  </w:num>
  <w:num w:numId="43">
    <w:abstractNumId w:val="26"/>
  </w:num>
  <w:num w:numId="44">
    <w:abstractNumId w:val="10"/>
  </w:num>
  <w:num w:numId="45">
    <w:abstractNumId w:val="22"/>
  </w:num>
  <w:num w:numId="46">
    <w:abstractNumId w:val="5"/>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4E"/>
    <w:rsid w:val="00006A10"/>
    <w:rsid w:val="000131C8"/>
    <w:rsid w:val="000314C1"/>
    <w:rsid w:val="00034E77"/>
    <w:rsid w:val="00037A32"/>
    <w:rsid w:val="00041400"/>
    <w:rsid w:val="00043A55"/>
    <w:rsid w:val="000458E3"/>
    <w:rsid w:val="00046A30"/>
    <w:rsid w:val="00050653"/>
    <w:rsid w:val="0005671D"/>
    <w:rsid w:val="00065A27"/>
    <w:rsid w:val="000710F3"/>
    <w:rsid w:val="00076B21"/>
    <w:rsid w:val="00080C9D"/>
    <w:rsid w:val="0008242E"/>
    <w:rsid w:val="000849D3"/>
    <w:rsid w:val="000874A4"/>
    <w:rsid w:val="000934FB"/>
    <w:rsid w:val="000A6A4F"/>
    <w:rsid w:val="000B4F37"/>
    <w:rsid w:val="000C09EE"/>
    <w:rsid w:val="000C6CBA"/>
    <w:rsid w:val="000D018A"/>
    <w:rsid w:val="000D6E08"/>
    <w:rsid w:val="000E0EB0"/>
    <w:rsid w:val="000E1460"/>
    <w:rsid w:val="000E76C1"/>
    <w:rsid w:val="000F030A"/>
    <w:rsid w:val="000F584A"/>
    <w:rsid w:val="00113E8B"/>
    <w:rsid w:val="001146ED"/>
    <w:rsid w:val="001162CE"/>
    <w:rsid w:val="001175F9"/>
    <w:rsid w:val="00141513"/>
    <w:rsid w:val="00151597"/>
    <w:rsid w:val="00163D09"/>
    <w:rsid w:val="0017409D"/>
    <w:rsid w:val="0018459E"/>
    <w:rsid w:val="00185741"/>
    <w:rsid w:val="00192C46"/>
    <w:rsid w:val="00196BAB"/>
    <w:rsid w:val="001A06C1"/>
    <w:rsid w:val="001A6016"/>
    <w:rsid w:val="001B227C"/>
    <w:rsid w:val="001B5AF1"/>
    <w:rsid w:val="001B6D63"/>
    <w:rsid w:val="001C7A8D"/>
    <w:rsid w:val="001D1C91"/>
    <w:rsid w:val="001D71B8"/>
    <w:rsid w:val="001E1C9A"/>
    <w:rsid w:val="001E48C7"/>
    <w:rsid w:val="001E6215"/>
    <w:rsid w:val="001E6432"/>
    <w:rsid w:val="001E7C2C"/>
    <w:rsid w:val="00202BDB"/>
    <w:rsid w:val="00205C53"/>
    <w:rsid w:val="0022784E"/>
    <w:rsid w:val="00232107"/>
    <w:rsid w:val="00245DEB"/>
    <w:rsid w:val="00252053"/>
    <w:rsid w:val="00266422"/>
    <w:rsid w:val="0027279B"/>
    <w:rsid w:val="00281CFC"/>
    <w:rsid w:val="0028784A"/>
    <w:rsid w:val="00291987"/>
    <w:rsid w:val="00292094"/>
    <w:rsid w:val="002A2FBD"/>
    <w:rsid w:val="002B1004"/>
    <w:rsid w:val="002B6EF0"/>
    <w:rsid w:val="002C0843"/>
    <w:rsid w:val="002C263B"/>
    <w:rsid w:val="002D41BD"/>
    <w:rsid w:val="002D782C"/>
    <w:rsid w:val="002E0799"/>
    <w:rsid w:val="002E3B55"/>
    <w:rsid w:val="002E7D00"/>
    <w:rsid w:val="002F19CB"/>
    <w:rsid w:val="002F6928"/>
    <w:rsid w:val="003003C6"/>
    <w:rsid w:val="00303953"/>
    <w:rsid w:val="00311485"/>
    <w:rsid w:val="00315CFF"/>
    <w:rsid w:val="00335826"/>
    <w:rsid w:val="00336CF6"/>
    <w:rsid w:val="00341E3F"/>
    <w:rsid w:val="00352DB4"/>
    <w:rsid w:val="003571C0"/>
    <w:rsid w:val="00360FB5"/>
    <w:rsid w:val="00361BBA"/>
    <w:rsid w:val="00365372"/>
    <w:rsid w:val="0036734F"/>
    <w:rsid w:val="00367ADD"/>
    <w:rsid w:val="00374F29"/>
    <w:rsid w:val="00376E58"/>
    <w:rsid w:val="00380CB4"/>
    <w:rsid w:val="00391649"/>
    <w:rsid w:val="003938A3"/>
    <w:rsid w:val="003A1181"/>
    <w:rsid w:val="003A4FB5"/>
    <w:rsid w:val="003A57E5"/>
    <w:rsid w:val="003A7ED3"/>
    <w:rsid w:val="003C3246"/>
    <w:rsid w:val="003D0897"/>
    <w:rsid w:val="003D28FC"/>
    <w:rsid w:val="003E04AF"/>
    <w:rsid w:val="003E43FC"/>
    <w:rsid w:val="003E6D06"/>
    <w:rsid w:val="003F001D"/>
    <w:rsid w:val="00401DAB"/>
    <w:rsid w:val="00402B57"/>
    <w:rsid w:val="00412461"/>
    <w:rsid w:val="00412F70"/>
    <w:rsid w:val="004221DC"/>
    <w:rsid w:val="00422E6B"/>
    <w:rsid w:val="00425D7F"/>
    <w:rsid w:val="00430681"/>
    <w:rsid w:val="0044352C"/>
    <w:rsid w:val="00447285"/>
    <w:rsid w:val="00447E87"/>
    <w:rsid w:val="00453177"/>
    <w:rsid w:val="004558DD"/>
    <w:rsid w:val="00462CFF"/>
    <w:rsid w:val="00463AE1"/>
    <w:rsid w:val="004721DB"/>
    <w:rsid w:val="00475FFC"/>
    <w:rsid w:val="004762AA"/>
    <w:rsid w:val="00486CC6"/>
    <w:rsid w:val="00490053"/>
    <w:rsid w:val="004B16A9"/>
    <w:rsid w:val="004B2EC8"/>
    <w:rsid w:val="004B4C7A"/>
    <w:rsid w:val="004C0784"/>
    <w:rsid w:val="004C6711"/>
    <w:rsid w:val="004C7976"/>
    <w:rsid w:val="004C7FA0"/>
    <w:rsid w:val="004D450F"/>
    <w:rsid w:val="004D4C36"/>
    <w:rsid w:val="004D5A7C"/>
    <w:rsid w:val="004E29BA"/>
    <w:rsid w:val="004E3663"/>
    <w:rsid w:val="004E4922"/>
    <w:rsid w:val="004E5C6E"/>
    <w:rsid w:val="005130F3"/>
    <w:rsid w:val="005236D6"/>
    <w:rsid w:val="00531320"/>
    <w:rsid w:val="00533A82"/>
    <w:rsid w:val="00540A82"/>
    <w:rsid w:val="00541A82"/>
    <w:rsid w:val="00544EC9"/>
    <w:rsid w:val="005624A1"/>
    <w:rsid w:val="00567E05"/>
    <w:rsid w:val="005833B2"/>
    <w:rsid w:val="00597620"/>
    <w:rsid w:val="005A00E8"/>
    <w:rsid w:val="005A12E1"/>
    <w:rsid w:val="005A30C1"/>
    <w:rsid w:val="005A5658"/>
    <w:rsid w:val="005B05FF"/>
    <w:rsid w:val="005B11D6"/>
    <w:rsid w:val="005B490D"/>
    <w:rsid w:val="005B7BE4"/>
    <w:rsid w:val="005C192A"/>
    <w:rsid w:val="005C5B03"/>
    <w:rsid w:val="005D028E"/>
    <w:rsid w:val="005D1572"/>
    <w:rsid w:val="005D1A44"/>
    <w:rsid w:val="005D2895"/>
    <w:rsid w:val="005F6F06"/>
    <w:rsid w:val="00601B7F"/>
    <w:rsid w:val="006052AD"/>
    <w:rsid w:val="00611926"/>
    <w:rsid w:val="00630EAD"/>
    <w:rsid w:val="00636E41"/>
    <w:rsid w:val="00641714"/>
    <w:rsid w:val="00643504"/>
    <w:rsid w:val="00643C5A"/>
    <w:rsid w:val="00643CF5"/>
    <w:rsid w:val="00643FD0"/>
    <w:rsid w:val="00644029"/>
    <w:rsid w:val="00644511"/>
    <w:rsid w:val="00653AD4"/>
    <w:rsid w:val="00654F30"/>
    <w:rsid w:val="00656B5E"/>
    <w:rsid w:val="006608B6"/>
    <w:rsid w:val="0066383E"/>
    <w:rsid w:val="006670AB"/>
    <w:rsid w:val="006730B3"/>
    <w:rsid w:val="00674CD2"/>
    <w:rsid w:val="006766FA"/>
    <w:rsid w:val="006809BC"/>
    <w:rsid w:val="00682D20"/>
    <w:rsid w:val="0068465F"/>
    <w:rsid w:val="006A2E54"/>
    <w:rsid w:val="006A3190"/>
    <w:rsid w:val="006B181F"/>
    <w:rsid w:val="006C7940"/>
    <w:rsid w:val="006D0269"/>
    <w:rsid w:val="006D33B1"/>
    <w:rsid w:val="006D4350"/>
    <w:rsid w:val="006E4FD7"/>
    <w:rsid w:val="006E576C"/>
    <w:rsid w:val="006E59F4"/>
    <w:rsid w:val="006F6F30"/>
    <w:rsid w:val="006F7F8B"/>
    <w:rsid w:val="007013AB"/>
    <w:rsid w:val="00703EEE"/>
    <w:rsid w:val="00706EAD"/>
    <w:rsid w:val="007149B6"/>
    <w:rsid w:val="00731A1A"/>
    <w:rsid w:val="00743C63"/>
    <w:rsid w:val="00767032"/>
    <w:rsid w:val="007702B9"/>
    <w:rsid w:val="00775D13"/>
    <w:rsid w:val="00784DB7"/>
    <w:rsid w:val="00784E1A"/>
    <w:rsid w:val="00790F41"/>
    <w:rsid w:val="0079646F"/>
    <w:rsid w:val="007A2046"/>
    <w:rsid w:val="007A2BCB"/>
    <w:rsid w:val="007A43F1"/>
    <w:rsid w:val="007A5715"/>
    <w:rsid w:val="007B30F2"/>
    <w:rsid w:val="007C322F"/>
    <w:rsid w:val="007D2138"/>
    <w:rsid w:val="007D6642"/>
    <w:rsid w:val="007E15D9"/>
    <w:rsid w:val="007E2A9A"/>
    <w:rsid w:val="007E2E77"/>
    <w:rsid w:val="007E6977"/>
    <w:rsid w:val="007F2E3F"/>
    <w:rsid w:val="0080210E"/>
    <w:rsid w:val="00810BFD"/>
    <w:rsid w:val="008125C7"/>
    <w:rsid w:val="0081272E"/>
    <w:rsid w:val="00814142"/>
    <w:rsid w:val="0081467C"/>
    <w:rsid w:val="00817F6C"/>
    <w:rsid w:val="00824752"/>
    <w:rsid w:val="00824E37"/>
    <w:rsid w:val="0082631A"/>
    <w:rsid w:val="0082762F"/>
    <w:rsid w:val="008279E0"/>
    <w:rsid w:val="00844B11"/>
    <w:rsid w:val="00846CFB"/>
    <w:rsid w:val="0084709B"/>
    <w:rsid w:val="00850B6E"/>
    <w:rsid w:val="00854418"/>
    <w:rsid w:val="00857957"/>
    <w:rsid w:val="00864F24"/>
    <w:rsid w:val="008764A6"/>
    <w:rsid w:val="0087754D"/>
    <w:rsid w:val="0088019A"/>
    <w:rsid w:val="008867BD"/>
    <w:rsid w:val="008912E0"/>
    <w:rsid w:val="008A2B41"/>
    <w:rsid w:val="008B0AB7"/>
    <w:rsid w:val="008B52FA"/>
    <w:rsid w:val="008D7B87"/>
    <w:rsid w:val="008E698D"/>
    <w:rsid w:val="008E6E68"/>
    <w:rsid w:val="00902B8A"/>
    <w:rsid w:val="00905579"/>
    <w:rsid w:val="00911BCC"/>
    <w:rsid w:val="00921BE2"/>
    <w:rsid w:val="00925A66"/>
    <w:rsid w:val="00927036"/>
    <w:rsid w:val="00934FF6"/>
    <w:rsid w:val="0094005E"/>
    <w:rsid w:val="009408CC"/>
    <w:rsid w:val="009428D4"/>
    <w:rsid w:val="00944205"/>
    <w:rsid w:val="0095072D"/>
    <w:rsid w:val="00951271"/>
    <w:rsid w:val="0095159F"/>
    <w:rsid w:val="0096057C"/>
    <w:rsid w:val="00960730"/>
    <w:rsid w:val="0096413A"/>
    <w:rsid w:val="009709D1"/>
    <w:rsid w:val="009841FB"/>
    <w:rsid w:val="00991A56"/>
    <w:rsid w:val="00992B68"/>
    <w:rsid w:val="009A0D00"/>
    <w:rsid w:val="009A25E7"/>
    <w:rsid w:val="009A4690"/>
    <w:rsid w:val="009A4D3F"/>
    <w:rsid w:val="009A57DB"/>
    <w:rsid w:val="009B47BB"/>
    <w:rsid w:val="009C2532"/>
    <w:rsid w:val="009C3322"/>
    <w:rsid w:val="009C5ED1"/>
    <w:rsid w:val="009D0E3D"/>
    <w:rsid w:val="009D138B"/>
    <w:rsid w:val="009D2AB3"/>
    <w:rsid w:val="009D2B4B"/>
    <w:rsid w:val="009D65CB"/>
    <w:rsid w:val="009D68C1"/>
    <w:rsid w:val="009D7A32"/>
    <w:rsid w:val="009E5310"/>
    <w:rsid w:val="009F7E5B"/>
    <w:rsid w:val="00A14355"/>
    <w:rsid w:val="00A2203D"/>
    <w:rsid w:val="00A32126"/>
    <w:rsid w:val="00A34467"/>
    <w:rsid w:val="00A4124D"/>
    <w:rsid w:val="00A43189"/>
    <w:rsid w:val="00A4770F"/>
    <w:rsid w:val="00A514A7"/>
    <w:rsid w:val="00A53B68"/>
    <w:rsid w:val="00A60F62"/>
    <w:rsid w:val="00A633C3"/>
    <w:rsid w:val="00A70DF0"/>
    <w:rsid w:val="00A76D09"/>
    <w:rsid w:val="00A76EED"/>
    <w:rsid w:val="00A87E40"/>
    <w:rsid w:val="00A927F8"/>
    <w:rsid w:val="00A949B3"/>
    <w:rsid w:val="00A95B73"/>
    <w:rsid w:val="00AB6130"/>
    <w:rsid w:val="00AC0C4B"/>
    <w:rsid w:val="00AC5020"/>
    <w:rsid w:val="00AC7638"/>
    <w:rsid w:val="00B05C8B"/>
    <w:rsid w:val="00B12CFB"/>
    <w:rsid w:val="00B20CB5"/>
    <w:rsid w:val="00B34424"/>
    <w:rsid w:val="00B34AF5"/>
    <w:rsid w:val="00B4299B"/>
    <w:rsid w:val="00B52158"/>
    <w:rsid w:val="00B52CE3"/>
    <w:rsid w:val="00B60675"/>
    <w:rsid w:val="00B6569C"/>
    <w:rsid w:val="00B6595F"/>
    <w:rsid w:val="00B674F8"/>
    <w:rsid w:val="00B67512"/>
    <w:rsid w:val="00B71602"/>
    <w:rsid w:val="00B76C4E"/>
    <w:rsid w:val="00B8006A"/>
    <w:rsid w:val="00B867DD"/>
    <w:rsid w:val="00B90E73"/>
    <w:rsid w:val="00B94473"/>
    <w:rsid w:val="00BA5795"/>
    <w:rsid w:val="00BB05DB"/>
    <w:rsid w:val="00BB6D8D"/>
    <w:rsid w:val="00BC5782"/>
    <w:rsid w:val="00BC69A8"/>
    <w:rsid w:val="00BD3796"/>
    <w:rsid w:val="00BD55B5"/>
    <w:rsid w:val="00BE1307"/>
    <w:rsid w:val="00BE1B57"/>
    <w:rsid w:val="00BE2FA6"/>
    <w:rsid w:val="00BE3ACE"/>
    <w:rsid w:val="00BF1AEC"/>
    <w:rsid w:val="00BF2AC9"/>
    <w:rsid w:val="00BF473A"/>
    <w:rsid w:val="00C042E2"/>
    <w:rsid w:val="00C1111D"/>
    <w:rsid w:val="00C231DF"/>
    <w:rsid w:val="00C3290D"/>
    <w:rsid w:val="00C331E8"/>
    <w:rsid w:val="00C401D3"/>
    <w:rsid w:val="00C56257"/>
    <w:rsid w:val="00C57390"/>
    <w:rsid w:val="00C670BA"/>
    <w:rsid w:val="00C73C5C"/>
    <w:rsid w:val="00C97A65"/>
    <w:rsid w:val="00CA1A31"/>
    <w:rsid w:val="00CA5172"/>
    <w:rsid w:val="00CA5BB9"/>
    <w:rsid w:val="00CA70AB"/>
    <w:rsid w:val="00CB562C"/>
    <w:rsid w:val="00CF079E"/>
    <w:rsid w:val="00D00365"/>
    <w:rsid w:val="00D01427"/>
    <w:rsid w:val="00D052E1"/>
    <w:rsid w:val="00D065FF"/>
    <w:rsid w:val="00D129C0"/>
    <w:rsid w:val="00D12A57"/>
    <w:rsid w:val="00D15554"/>
    <w:rsid w:val="00D254BF"/>
    <w:rsid w:val="00D2781D"/>
    <w:rsid w:val="00D34F2E"/>
    <w:rsid w:val="00D36D0F"/>
    <w:rsid w:val="00D41916"/>
    <w:rsid w:val="00D514F7"/>
    <w:rsid w:val="00D5337B"/>
    <w:rsid w:val="00D55B38"/>
    <w:rsid w:val="00D6252F"/>
    <w:rsid w:val="00D630AF"/>
    <w:rsid w:val="00D645E5"/>
    <w:rsid w:val="00D67515"/>
    <w:rsid w:val="00D8136A"/>
    <w:rsid w:val="00D82C3C"/>
    <w:rsid w:val="00D9405A"/>
    <w:rsid w:val="00D9525D"/>
    <w:rsid w:val="00D953DB"/>
    <w:rsid w:val="00DB7603"/>
    <w:rsid w:val="00DB7781"/>
    <w:rsid w:val="00DC3CB8"/>
    <w:rsid w:val="00DC6833"/>
    <w:rsid w:val="00DD1275"/>
    <w:rsid w:val="00DD1EB2"/>
    <w:rsid w:val="00DD35E5"/>
    <w:rsid w:val="00DD3ED6"/>
    <w:rsid w:val="00DE29E7"/>
    <w:rsid w:val="00DE4954"/>
    <w:rsid w:val="00DE70FC"/>
    <w:rsid w:val="00E0463E"/>
    <w:rsid w:val="00E04D17"/>
    <w:rsid w:val="00E06E8D"/>
    <w:rsid w:val="00E15AD5"/>
    <w:rsid w:val="00E25EB3"/>
    <w:rsid w:val="00E26C3E"/>
    <w:rsid w:val="00E27B5C"/>
    <w:rsid w:val="00E370A3"/>
    <w:rsid w:val="00E5554D"/>
    <w:rsid w:val="00E7610B"/>
    <w:rsid w:val="00E8191A"/>
    <w:rsid w:val="00E85C79"/>
    <w:rsid w:val="00E87E8E"/>
    <w:rsid w:val="00E95ED9"/>
    <w:rsid w:val="00EA6C4A"/>
    <w:rsid w:val="00EC1AAA"/>
    <w:rsid w:val="00EC37E6"/>
    <w:rsid w:val="00EC4E5A"/>
    <w:rsid w:val="00ED3D64"/>
    <w:rsid w:val="00ED7176"/>
    <w:rsid w:val="00EE1C60"/>
    <w:rsid w:val="00EF1A95"/>
    <w:rsid w:val="00F01576"/>
    <w:rsid w:val="00F11144"/>
    <w:rsid w:val="00F12793"/>
    <w:rsid w:val="00F27F8D"/>
    <w:rsid w:val="00F301BD"/>
    <w:rsid w:val="00F3178D"/>
    <w:rsid w:val="00F4227F"/>
    <w:rsid w:val="00F45011"/>
    <w:rsid w:val="00F46BF7"/>
    <w:rsid w:val="00F56199"/>
    <w:rsid w:val="00F63B5B"/>
    <w:rsid w:val="00F66E52"/>
    <w:rsid w:val="00F81F22"/>
    <w:rsid w:val="00F84507"/>
    <w:rsid w:val="00F8620A"/>
    <w:rsid w:val="00F93000"/>
    <w:rsid w:val="00F94560"/>
    <w:rsid w:val="00FA12C6"/>
    <w:rsid w:val="00FA1FB9"/>
    <w:rsid w:val="00FC063B"/>
    <w:rsid w:val="00FD37DB"/>
    <w:rsid w:val="00FE7A30"/>
    <w:rsid w:val="00FF6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F69F5DA"/>
  <w15:docId w15:val="{3B4A4ABC-8373-43E4-9ABB-BD9A777A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AD4"/>
  </w:style>
  <w:style w:type="paragraph" w:styleId="Titre1">
    <w:name w:val="heading 1"/>
    <w:basedOn w:val="Normal"/>
    <w:next w:val="Normal"/>
    <w:link w:val="Titre1Car"/>
    <w:uiPriority w:val="9"/>
    <w:qFormat/>
    <w:rsid w:val="002278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17409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991A56"/>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784E"/>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uiPriority w:val="10"/>
    <w:qFormat/>
    <w:rsid w:val="002278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784E"/>
    <w:rPr>
      <w:rFonts w:asciiTheme="majorHAnsi" w:eastAsiaTheme="majorEastAsia" w:hAnsiTheme="majorHAnsi" w:cstheme="majorBidi"/>
      <w:spacing w:val="-10"/>
      <w:kern w:val="28"/>
      <w:sz w:val="56"/>
      <w:szCs w:val="56"/>
    </w:rPr>
  </w:style>
  <w:style w:type="paragraph" w:styleId="Paragraphedeliste">
    <w:name w:val="List Paragraph"/>
    <w:aliases w:val="Bullets,List Paragraph (numbered (a)),Paragraphe  revu,Paragraphe de liste1,References,Bullet L1,Liste 1,List Paragraph1,Lapis Bulleted List,Tableau Adere,Numbered paragraph,List Paragraph-ExecSummary,List Paragraph nowy"/>
    <w:basedOn w:val="Normal"/>
    <w:link w:val="ParagraphedelisteCar"/>
    <w:uiPriority w:val="34"/>
    <w:qFormat/>
    <w:rsid w:val="00674CD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Bullets Car,List Paragraph (numbered (a)) Car,Paragraphe  revu Car,Paragraphe de liste1 Car,References Car,Bullet L1 Car,Liste 1 Car,List Paragraph1 Car,Lapis Bulleted List Car,Tableau Adere Car,Numbered paragraph Car"/>
    <w:basedOn w:val="Policepardfaut"/>
    <w:link w:val="Paragraphedeliste"/>
    <w:uiPriority w:val="34"/>
    <w:qFormat/>
    <w:rsid w:val="00674CD2"/>
    <w:rPr>
      <w:rFonts w:ascii="Times New Roman" w:eastAsia="Times New Roman" w:hAnsi="Times New Roman" w:cs="Times New Roman"/>
      <w:sz w:val="24"/>
      <w:szCs w:val="24"/>
      <w:lang w:val="en-US"/>
    </w:rPr>
  </w:style>
  <w:style w:type="table" w:styleId="Grilledutableau">
    <w:name w:val="Table Grid"/>
    <w:basedOn w:val="TableauNormal"/>
    <w:uiPriority w:val="39"/>
    <w:rsid w:val="00674CD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edebasdepageCar">
    <w:name w:val="Note de bas de page Car"/>
    <w:aliases w:val="single space Car,footnote text Car,fn Car,FOOTNOTES Car,ft Car,f Car,Char Car,Footnote Text Char2 Char Car,Footnote Text Char1 Char Char Car,Footnote Text Char2 Char Char Char Car,Footnote Text Char1 Char Char Char Char Car"/>
    <w:basedOn w:val="Policepardfaut"/>
    <w:link w:val="Notedebasdepage"/>
    <w:locked/>
    <w:rsid w:val="002C0843"/>
    <w:rPr>
      <w:sz w:val="20"/>
      <w:szCs w:val="20"/>
    </w:rPr>
  </w:style>
  <w:style w:type="paragraph" w:styleId="Notedebasdepage">
    <w:name w:val="footnote text"/>
    <w:aliases w:val="single space,footnote text,fn,FOOTNOTES,ft,f,Char,Footnote Text Char2 Char,Footnote Text Char1 Char Char,Footnote Text Char2 Char Char Char,Footnote Text Char1 Char Char Char Char,DSE note,Footnote Text Char Char,Geneva 9,Boston 10"/>
    <w:basedOn w:val="Normal"/>
    <w:link w:val="NotedebasdepageCar"/>
    <w:unhideWhenUsed/>
    <w:qFormat/>
    <w:rsid w:val="002C0843"/>
    <w:pPr>
      <w:spacing w:after="0" w:line="240" w:lineRule="auto"/>
    </w:pPr>
    <w:rPr>
      <w:sz w:val="20"/>
      <w:szCs w:val="20"/>
    </w:rPr>
  </w:style>
  <w:style w:type="character" w:customStyle="1" w:styleId="FootnoteTextChar1">
    <w:name w:val="Footnote Text Char1"/>
    <w:basedOn w:val="Policepardfaut"/>
    <w:uiPriority w:val="99"/>
    <w:semiHidden/>
    <w:rsid w:val="002C0843"/>
    <w:rPr>
      <w:sz w:val="20"/>
      <w:szCs w:val="20"/>
    </w:rPr>
  </w:style>
  <w:style w:type="character" w:styleId="Appelnotedebasdep">
    <w:name w:val="footnote reference"/>
    <w:aliases w:val="ftref,16 Point,Superscript 6 Point,Footnote,BVI fnr,Normal + Font:9 Point,Superscript 3 Point Times,Footnote Reference Number,Ref,de nota al pie,note bp,Car Car Char Car Char Car Car Char Car Char Char,16 Point Char Char,fr,SUPER"/>
    <w:basedOn w:val="Policepardfaut"/>
    <w:link w:val="16PointChar"/>
    <w:unhideWhenUsed/>
    <w:qFormat/>
    <w:rsid w:val="002C0843"/>
    <w:rPr>
      <w:vertAlign w:val="superscript"/>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2C0843"/>
    <w:pPr>
      <w:spacing w:line="240" w:lineRule="exact"/>
    </w:pPr>
    <w:rPr>
      <w:vertAlign w:val="superscript"/>
    </w:rPr>
  </w:style>
  <w:style w:type="paragraph" w:styleId="En-tte">
    <w:name w:val="header"/>
    <w:basedOn w:val="Normal"/>
    <w:link w:val="En-tteCar"/>
    <w:uiPriority w:val="99"/>
    <w:unhideWhenUsed/>
    <w:rsid w:val="00A34467"/>
    <w:pPr>
      <w:tabs>
        <w:tab w:val="center" w:pos="4513"/>
        <w:tab w:val="right" w:pos="9026"/>
      </w:tabs>
      <w:spacing w:after="0" w:line="240" w:lineRule="auto"/>
    </w:pPr>
  </w:style>
  <w:style w:type="character" w:customStyle="1" w:styleId="En-tteCar">
    <w:name w:val="En-tête Car"/>
    <w:basedOn w:val="Policepardfaut"/>
    <w:link w:val="En-tte"/>
    <w:uiPriority w:val="99"/>
    <w:rsid w:val="00A34467"/>
  </w:style>
  <w:style w:type="paragraph" w:styleId="Pieddepage">
    <w:name w:val="footer"/>
    <w:basedOn w:val="Normal"/>
    <w:link w:val="PieddepageCar"/>
    <w:uiPriority w:val="99"/>
    <w:unhideWhenUsed/>
    <w:rsid w:val="00A3446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34467"/>
  </w:style>
  <w:style w:type="character" w:styleId="Marquedecommentaire">
    <w:name w:val="annotation reference"/>
    <w:basedOn w:val="Policepardfaut"/>
    <w:uiPriority w:val="99"/>
    <w:semiHidden/>
    <w:unhideWhenUsed/>
    <w:rsid w:val="002D782C"/>
    <w:rPr>
      <w:sz w:val="16"/>
      <w:szCs w:val="16"/>
    </w:rPr>
  </w:style>
  <w:style w:type="paragraph" w:styleId="Commentaire">
    <w:name w:val="annotation text"/>
    <w:basedOn w:val="Normal"/>
    <w:link w:val="CommentaireCar"/>
    <w:uiPriority w:val="99"/>
    <w:semiHidden/>
    <w:unhideWhenUsed/>
    <w:rsid w:val="002D782C"/>
    <w:pPr>
      <w:spacing w:line="240" w:lineRule="auto"/>
    </w:pPr>
    <w:rPr>
      <w:sz w:val="20"/>
      <w:szCs w:val="20"/>
    </w:rPr>
  </w:style>
  <w:style w:type="character" w:customStyle="1" w:styleId="CommentaireCar">
    <w:name w:val="Commentaire Car"/>
    <w:basedOn w:val="Policepardfaut"/>
    <w:link w:val="Commentaire"/>
    <w:uiPriority w:val="99"/>
    <w:semiHidden/>
    <w:rsid w:val="002D782C"/>
    <w:rPr>
      <w:sz w:val="20"/>
      <w:szCs w:val="20"/>
    </w:rPr>
  </w:style>
  <w:style w:type="paragraph" w:styleId="Objetducommentaire">
    <w:name w:val="annotation subject"/>
    <w:basedOn w:val="Commentaire"/>
    <w:next w:val="Commentaire"/>
    <w:link w:val="ObjetducommentaireCar"/>
    <w:uiPriority w:val="99"/>
    <w:semiHidden/>
    <w:unhideWhenUsed/>
    <w:rsid w:val="002D782C"/>
    <w:rPr>
      <w:b/>
      <w:bCs/>
    </w:rPr>
  </w:style>
  <w:style w:type="character" w:customStyle="1" w:styleId="ObjetducommentaireCar">
    <w:name w:val="Objet du commentaire Car"/>
    <w:basedOn w:val="CommentaireCar"/>
    <w:link w:val="Objetducommentaire"/>
    <w:uiPriority w:val="99"/>
    <w:semiHidden/>
    <w:rsid w:val="002D782C"/>
    <w:rPr>
      <w:b/>
      <w:bCs/>
      <w:sz w:val="20"/>
      <w:szCs w:val="20"/>
    </w:rPr>
  </w:style>
  <w:style w:type="paragraph" w:styleId="Textedebulles">
    <w:name w:val="Balloon Text"/>
    <w:basedOn w:val="Normal"/>
    <w:link w:val="TextedebullesCar"/>
    <w:uiPriority w:val="99"/>
    <w:semiHidden/>
    <w:unhideWhenUsed/>
    <w:rsid w:val="002D78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782C"/>
    <w:rPr>
      <w:rFonts w:ascii="Segoe UI" w:hAnsi="Segoe UI" w:cs="Segoe UI"/>
      <w:sz w:val="18"/>
      <w:szCs w:val="18"/>
    </w:rPr>
  </w:style>
  <w:style w:type="paragraph" w:styleId="Rvision">
    <w:name w:val="Revision"/>
    <w:hidden/>
    <w:uiPriority w:val="99"/>
    <w:semiHidden/>
    <w:rsid w:val="006E576C"/>
    <w:pPr>
      <w:spacing w:after="0" w:line="240" w:lineRule="auto"/>
    </w:pPr>
  </w:style>
  <w:style w:type="table" w:customStyle="1" w:styleId="Grilledutableau1">
    <w:name w:val="Grille du tableau1"/>
    <w:basedOn w:val="TableauNormal"/>
    <w:next w:val="Grilledutableau"/>
    <w:uiPriority w:val="59"/>
    <w:rsid w:val="00B1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991A56"/>
    <w:rPr>
      <w:rFonts w:asciiTheme="majorHAnsi" w:eastAsiaTheme="majorEastAsia" w:hAnsiTheme="majorHAnsi" w:cstheme="majorBidi"/>
      <w:b/>
      <w:bCs/>
      <w:color w:val="5B9BD5" w:themeColor="accent1"/>
    </w:rPr>
  </w:style>
  <w:style w:type="character" w:customStyle="1" w:styleId="gd">
    <w:name w:val="gd"/>
    <w:basedOn w:val="Policepardfaut"/>
    <w:rsid w:val="00991A56"/>
  </w:style>
  <w:style w:type="character" w:customStyle="1" w:styleId="g3">
    <w:name w:val="g3"/>
    <w:basedOn w:val="Policepardfaut"/>
    <w:rsid w:val="00991A56"/>
  </w:style>
  <w:style w:type="character" w:customStyle="1" w:styleId="hb">
    <w:name w:val="hb"/>
    <w:basedOn w:val="Policepardfaut"/>
    <w:rsid w:val="00991A56"/>
  </w:style>
  <w:style w:type="character" w:customStyle="1" w:styleId="g2">
    <w:name w:val="g2"/>
    <w:basedOn w:val="Policepardfaut"/>
    <w:rsid w:val="00991A56"/>
  </w:style>
  <w:style w:type="character" w:styleId="Lienhypertexte">
    <w:name w:val="Hyperlink"/>
    <w:basedOn w:val="Policepardfaut"/>
    <w:uiPriority w:val="99"/>
    <w:semiHidden/>
    <w:unhideWhenUsed/>
    <w:rsid w:val="00991A56"/>
    <w:rPr>
      <w:color w:val="0000FF"/>
      <w:u w:val="single"/>
    </w:rPr>
  </w:style>
  <w:style w:type="character" w:customStyle="1" w:styleId="Titre2Car">
    <w:name w:val="Titre 2 Car"/>
    <w:basedOn w:val="Policepardfaut"/>
    <w:link w:val="Titre2"/>
    <w:uiPriority w:val="9"/>
    <w:semiHidden/>
    <w:rsid w:val="0017409D"/>
    <w:rPr>
      <w:rFonts w:asciiTheme="majorHAnsi" w:eastAsiaTheme="majorEastAsia" w:hAnsiTheme="majorHAnsi" w:cstheme="majorBidi"/>
      <w:b/>
      <w:bCs/>
      <w:color w:val="5B9BD5" w:themeColor="accent1"/>
      <w:sz w:val="26"/>
      <w:szCs w:val="26"/>
    </w:rPr>
  </w:style>
  <w:style w:type="paragraph" w:styleId="Sansinterligne">
    <w:name w:val="No Spacing"/>
    <w:uiPriority w:val="1"/>
    <w:qFormat/>
    <w:rsid w:val="0017409D"/>
    <w:pPr>
      <w:spacing w:after="0" w:line="240" w:lineRule="auto"/>
    </w:pPr>
    <w:rPr>
      <w:rFonts w:ascii="Calibri" w:eastAsia="Times New Roman" w:hAnsi="Calibri" w:cs="Times New Roman"/>
      <w:lang w:val="en-US"/>
    </w:rPr>
  </w:style>
  <w:style w:type="paragraph" w:styleId="TM1">
    <w:name w:val="toc 1"/>
    <w:basedOn w:val="Normal"/>
    <w:next w:val="Normal"/>
    <w:autoRedefine/>
    <w:uiPriority w:val="39"/>
    <w:semiHidden/>
    <w:unhideWhenUsed/>
    <w:rsid w:val="0017409D"/>
    <w:pPr>
      <w:spacing w:after="200" w:line="276" w:lineRule="auto"/>
    </w:pPr>
    <w:rPr>
      <w:rFonts w:ascii="Calibri" w:eastAsia="Calibri" w:hAnsi="Calibri" w:cs="Times New Roman"/>
    </w:rPr>
  </w:style>
  <w:style w:type="paragraph" w:styleId="Lgende">
    <w:name w:val="caption"/>
    <w:aliases w:val="Caption Char2,Caption Char Char1,Caption Char1 Char Char,Caption Char Char Char Char,Caption Char1 Char1,Caption Char Char Char1,таблица Char,Caption Char2 Char,Caption Char1 Char Char Char Char Char"/>
    <w:basedOn w:val="Normal"/>
    <w:next w:val="Normal"/>
    <w:link w:val="LgendeCar"/>
    <w:uiPriority w:val="99"/>
    <w:unhideWhenUsed/>
    <w:qFormat/>
    <w:rsid w:val="0017409D"/>
    <w:pPr>
      <w:overflowPunct w:val="0"/>
      <w:autoSpaceDE w:val="0"/>
      <w:autoSpaceDN w:val="0"/>
      <w:adjustRightInd w:val="0"/>
      <w:spacing w:after="200" w:line="240" w:lineRule="auto"/>
      <w:jc w:val="both"/>
      <w:textAlignment w:val="baseline"/>
    </w:pPr>
    <w:rPr>
      <w:rFonts w:ascii="Times New Roman" w:eastAsia="Times New Roman" w:hAnsi="Times New Roman" w:cs="Times New Roman"/>
      <w:b/>
      <w:bCs/>
      <w:color w:val="4F81BD"/>
      <w:sz w:val="20"/>
      <w:szCs w:val="18"/>
      <w:lang w:val="en-US"/>
    </w:rPr>
  </w:style>
  <w:style w:type="character" w:customStyle="1" w:styleId="LgendeCar">
    <w:name w:val="Légende Car"/>
    <w:aliases w:val="Caption Char2 Car,Caption Char Char1 Car,Caption Char1 Char Char Car,Caption Char Char Char Char Car,Caption Char1 Char1 Car,Caption Char Char Char1 Car,таблица Char Car,Caption Char2 Char Car,Caption Char1 Char Char Char Char Char Car"/>
    <w:link w:val="Lgende"/>
    <w:uiPriority w:val="99"/>
    <w:locked/>
    <w:rsid w:val="0017409D"/>
    <w:rPr>
      <w:rFonts w:ascii="Times New Roman" w:eastAsia="Times New Roman" w:hAnsi="Times New Roman" w:cs="Times New Roman"/>
      <w:b/>
      <w:bCs/>
      <w:color w:val="4F81BD"/>
      <w:sz w:val="2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697">
      <w:bodyDiv w:val="1"/>
      <w:marLeft w:val="0"/>
      <w:marRight w:val="0"/>
      <w:marTop w:val="0"/>
      <w:marBottom w:val="0"/>
      <w:divBdr>
        <w:top w:val="none" w:sz="0" w:space="0" w:color="auto"/>
        <w:left w:val="none" w:sz="0" w:space="0" w:color="auto"/>
        <w:bottom w:val="none" w:sz="0" w:space="0" w:color="auto"/>
        <w:right w:val="none" w:sz="0" w:space="0" w:color="auto"/>
      </w:divBdr>
    </w:div>
    <w:div w:id="369649824">
      <w:bodyDiv w:val="1"/>
      <w:marLeft w:val="0"/>
      <w:marRight w:val="0"/>
      <w:marTop w:val="0"/>
      <w:marBottom w:val="0"/>
      <w:divBdr>
        <w:top w:val="none" w:sz="0" w:space="0" w:color="auto"/>
        <w:left w:val="none" w:sz="0" w:space="0" w:color="auto"/>
        <w:bottom w:val="none" w:sz="0" w:space="0" w:color="auto"/>
        <w:right w:val="none" w:sz="0" w:space="0" w:color="auto"/>
      </w:divBdr>
    </w:div>
    <w:div w:id="579221433">
      <w:bodyDiv w:val="1"/>
      <w:marLeft w:val="0"/>
      <w:marRight w:val="0"/>
      <w:marTop w:val="0"/>
      <w:marBottom w:val="0"/>
      <w:divBdr>
        <w:top w:val="none" w:sz="0" w:space="0" w:color="auto"/>
        <w:left w:val="none" w:sz="0" w:space="0" w:color="auto"/>
        <w:bottom w:val="none" w:sz="0" w:space="0" w:color="auto"/>
        <w:right w:val="none" w:sz="0" w:space="0" w:color="auto"/>
      </w:divBdr>
    </w:div>
    <w:div w:id="668749401">
      <w:bodyDiv w:val="1"/>
      <w:marLeft w:val="0"/>
      <w:marRight w:val="0"/>
      <w:marTop w:val="0"/>
      <w:marBottom w:val="0"/>
      <w:divBdr>
        <w:top w:val="none" w:sz="0" w:space="0" w:color="auto"/>
        <w:left w:val="none" w:sz="0" w:space="0" w:color="auto"/>
        <w:bottom w:val="none" w:sz="0" w:space="0" w:color="auto"/>
        <w:right w:val="none" w:sz="0" w:space="0" w:color="auto"/>
      </w:divBdr>
      <w:divsChild>
        <w:div w:id="13582676">
          <w:marLeft w:val="0"/>
          <w:marRight w:val="0"/>
          <w:marTop w:val="0"/>
          <w:marBottom w:val="0"/>
          <w:divBdr>
            <w:top w:val="none" w:sz="0" w:space="0" w:color="auto"/>
            <w:left w:val="none" w:sz="0" w:space="0" w:color="auto"/>
            <w:bottom w:val="none" w:sz="0" w:space="0" w:color="auto"/>
            <w:right w:val="none" w:sz="0" w:space="0" w:color="auto"/>
          </w:divBdr>
          <w:divsChild>
            <w:div w:id="678234610">
              <w:marLeft w:val="0"/>
              <w:marRight w:val="0"/>
              <w:marTop w:val="0"/>
              <w:marBottom w:val="0"/>
              <w:divBdr>
                <w:top w:val="none" w:sz="0" w:space="0" w:color="auto"/>
                <w:left w:val="none" w:sz="0" w:space="0" w:color="auto"/>
                <w:bottom w:val="none" w:sz="0" w:space="0" w:color="auto"/>
                <w:right w:val="none" w:sz="0" w:space="0" w:color="auto"/>
              </w:divBdr>
            </w:div>
          </w:divsChild>
        </w:div>
        <w:div w:id="923805913">
          <w:marLeft w:val="0"/>
          <w:marRight w:val="0"/>
          <w:marTop w:val="0"/>
          <w:marBottom w:val="0"/>
          <w:divBdr>
            <w:top w:val="none" w:sz="0" w:space="0" w:color="auto"/>
            <w:left w:val="none" w:sz="0" w:space="0" w:color="auto"/>
            <w:bottom w:val="none" w:sz="0" w:space="0" w:color="auto"/>
            <w:right w:val="none" w:sz="0" w:space="0" w:color="auto"/>
          </w:divBdr>
          <w:divsChild>
            <w:div w:id="2008245208">
              <w:marLeft w:val="0"/>
              <w:marRight w:val="0"/>
              <w:marTop w:val="0"/>
              <w:marBottom w:val="0"/>
              <w:divBdr>
                <w:top w:val="none" w:sz="0" w:space="0" w:color="auto"/>
                <w:left w:val="none" w:sz="0" w:space="0" w:color="auto"/>
                <w:bottom w:val="none" w:sz="0" w:space="0" w:color="auto"/>
                <w:right w:val="none" w:sz="0" w:space="0" w:color="auto"/>
              </w:divBdr>
              <w:divsChild>
                <w:div w:id="1581673884">
                  <w:marLeft w:val="0"/>
                  <w:marRight w:val="0"/>
                  <w:marTop w:val="0"/>
                  <w:marBottom w:val="0"/>
                  <w:divBdr>
                    <w:top w:val="none" w:sz="0" w:space="0" w:color="auto"/>
                    <w:left w:val="none" w:sz="0" w:space="0" w:color="auto"/>
                    <w:bottom w:val="none" w:sz="0" w:space="0" w:color="auto"/>
                    <w:right w:val="none" w:sz="0" w:space="0" w:color="auto"/>
                  </w:divBdr>
                </w:div>
                <w:div w:id="545944976">
                  <w:marLeft w:val="300"/>
                  <w:marRight w:val="0"/>
                  <w:marTop w:val="0"/>
                  <w:marBottom w:val="0"/>
                  <w:divBdr>
                    <w:top w:val="none" w:sz="0" w:space="0" w:color="auto"/>
                    <w:left w:val="none" w:sz="0" w:space="0" w:color="auto"/>
                    <w:bottom w:val="none" w:sz="0" w:space="0" w:color="auto"/>
                    <w:right w:val="none" w:sz="0" w:space="0" w:color="auto"/>
                  </w:divBdr>
                </w:div>
                <w:div w:id="1081876083">
                  <w:marLeft w:val="300"/>
                  <w:marRight w:val="0"/>
                  <w:marTop w:val="0"/>
                  <w:marBottom w:val="0"/>
                  <w:divBdr>
                    <w:top w:val="none" w:sz="0" w:space="0" w:color="auto"/>
                    <w:left w:val="none" w:sz="0" w:space="0" w:color="auto"/>
                    <w:bottom w:val="none" w:sz="0" w:space="0" w:color="auto"/>
                    <w:right w:val="none" w:sz="0" w:space="0" w:color="auto"/>
                  </w:divBdr>
                </w:div>
                <w:div w:id="1001464747">
                  <w:marLeft w:val="0"/>
                  <w:marRight w:val="0"/>
                  <w:marTop w:val="0"/>
                  <w:marBottom w:val="0"/>
                  <w:divBdr>
                    <w:top w:val="none" w:sz="0" w:space="0" w:color="auto"/>
                    <w:left w:val="none" w:sz="0" w:space="0" w:color="auto"/>
                    <w:bottom w:val="none" w:sz="0" w:space="0" w:color="auto"/>
                    <w:right w:val="none" w:sz="0" w:space="0" w:color="auto"/>
                  </w:divBdr>
                </w:div>
                <w:div w:id="2001273704">
                  <w:marLeft w:val="60"/>
                  <w:marRight w:val="0"/>
                  <w:marTop w:val="0"/>
                  <w:marBottom w:val="0"/>
                  <w:divBdr>
                    <w:top w:val="none" w:sz="0" w:space="0" w:color="auto"/>
                    <w:left w:val="none" w:sz="0" w:space="0" w:color="auto"/>
                    <w:bottom w:val="none" w:sz="0" w:space="0" w:color="auto"/>
                    <w:right w:val="none" w:sz="0" w:space="0" w:color="auto"/>
                  </w:divBdr>
                </w:div>
              </w:divsChild>
            </w:div>
            <w:div w:id="208348694">
              <w:marLeft w:val="0"/>
              <w:marRight w:val="0"/>
              <w:marTop w:val="0"/>
              <w:marBottom w:val="0"/>
              <w:divBdr>
                <w:top w:val="none" w:sz="0" w:space="0" w:color="auto"/>
                <w:left w:val="none" w:sz="0" w:space="0" w:color="auto"/>
                <w:bottom w:val="none" w:sz="0" w:space="0" w:color="auto"/>
                <w:right w:val="none" w:sz="0" w:space="0" w:color="auto"/>
              </w:divBdr>
              <w:divsChild>
                <w:div w:id="618487962">
                  <w:marLeft w:val="0"/>
                  <w:marRight w:val="0"/>
                  <w:marTop w:val="120"/>
                  <w:marBottom w:val="0"/>
                  <w:divBdr>
                    <w:top w:val="none" w:sz="0" w:space="0" w:color="auto"/>
                    <w:left w:val="none" w:sz="0" w:space="0" w:color="auto"/>
                    <w:bottom w:val="none" w:sz="0" w:space="0" w:color="auto"/>
                    <w:right w:val="none" w:sz="0" w:space="0" w:color="auto"/>
                  </w:divBdr>
                  <w:divsChild>
                    <w:div w:id="1267154315">
                      <w:marLeft w:val="0"/>
                      <w:marRight w:val="0"/>
                      <w:marTop w:val="0"/>
                      <w:marBottom w:val="0"/>
                      <w:divBdr>
                        <w:top w:val="none" w:sz="0" w:space="0" w:color="auto"/>
                        <w:left w:val="none" w:sz="0" w:space="0" w:color="auto"/>
                        <w:bottom w:val="none" w:sz="0" w:space="0" w:color="auto"/>
                        <w:right w:val="none" w:sz="0" w:space="0" w:color="auto"/>
                      </w:divBdr>
                      <w:divsChild>
                        <w:div w:id="1929464489">
                          <w:marLeft w:val="0"/>
                          <w:marRight w:val="0"/>
                          <w:marTop w:val="0"/>
                          <w:marBottom w:val="0"/>
                          <w:divBdr>
                            <w:top w:val="none" w:sz="0" w:space="0" w:color="auto"/>
                            <w:left w:val="none" w:sz="0" w:space="0" w:color="auto"/>
                            <w:bottom w:val="none" w:sz="0" w:space="0" w:color="auto"/>
                            <w:right w:val="none" w:sz="0" w:space="0" w:color="auto"/>
                          </w:divBdr>
                          <w:divsChild>
                            <w:div w:id="1174688637">
                              <w:marLeft w:val="0"/>
                              <w:marRight w:val="0"/>
                              <w:marTop w:val="0"/>
                              <w:marBottom w:val="0"/>
                              <w:divBdr>
                                <w:top w:val="none" w:sz="0" w:space="0" w:color="auto"/>
                                <w:left w:val="none" w:sz="0" w:space="0" w:color="auto"/>
                                <w:bottom w:val="none" w:sz="0" w:space="0" w:color="auto"/>
                                <w:right w:val="none" w:sz="0" w:space="0" w:color="auto"/>
                              </w:divBdr>
                              <w:divsChild>
                                <w:div w:id="466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158955">
      <w:bodyDiv w:val="1"/>
      <w:marLeft w:val="0"/>
      <w:marRight w:val="0"/>
      <w:marTop w:val="0"/>
      <w:marBottom w:val="0"/>
      <w:divBdr>
        <w:top w:val="none" w:sz="0" w:space="0" w:color="auto"/>
        <w:left w:val="none" w:sz="0" w:space="0" w:color="auto"/>
        <w:bottom w:val="none" w:sz="0" w:space="0" w:color="auto"/>
        <w:right w:val="none" w:sz="0" w:space="0" w:color="auto"/>
      </w:divBdr>
    </w:div>
    <w:div w:id="19470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CE5CE-A1A2-4703-A324-B2426D82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91269-2E3C-4A7B-A394-1ACEDAA2DBB0}">
  <ds:schemaRefs>
    <ds:schemaRef ds:uri="http://schemas.microsoft.com/sharepoint/v3/contenttype/forms"/>
  </ds:schemaRefs>
</ds:datastoreItem>
</file>

<file path=customXml/itemProps3.xml><?xml version="1.0" encoding="utf-8"?>
<ds:datastoreItem xmlns:ds="http://schemas.openxmlformats.org/officeDocument/2006/customXml" ds:itemID="{380546AD-7AD2-4DEF-BC69-C3B53C9745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642246-008C-4367-B3CF-DE794DBB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3424</Words>
  <Characters>18838</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PARIIS</dc:creator>
  <cp:lastModifiedBy>Bouba DIARRA</cp:lastModifiedBy>
  <cp:revision>5</cp:revision>
  <cp:lastPrinted>2017-05-15T12:00:00Z</cp:lastPrinted>
  <dcterms:created xsi:type="dcterms:W3CDTF">2021-06-29T10:55:00Z</dcterms:created>
  <dcterms:modified xsi:type="dcterms:W3CDTF">2021-10-07T11:22:00Z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